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spacing w:line="600" w:lineRule="exact"/>
        <w:ind w:right="1260" w:rightChars="600"/>
        <w:jc w:val="left"/>
        <w:rPr>
          <w:rFonts w:ascii="Times New Roman" w:hAnsi="Times New Roman" w:eastAsia="黑体"/>
          <w:sz w:val="32"/>
          <w:szCs w:val="32"/>
        </w:rPr>
      </w:pPr>
      <w:bookmarkStart w:id="2" w:name="_GoBack"/>
      <w:bookmarkEnd w:id="2"/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overflowPunct w:val="0"/>
        <w:topLinePunct/>
        <w:spacing w:line="600" w:lineRule="exact"/>
        <w:ind w:right="1260" w:rightChars="600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方正小标宋简体" w:cs="方正小标宋简体"/>
          <w:kern w:val="0"/>
          <w:sz w:val="44"/>
          <w:szCs w:val="36"/>
        </w:rPr>
      </w:pPr>
      <w:bookmarkStart w:id="0" w:name="_Hlk521920491"/>
      <w:r>
        <w:rPr>
          <w:rFonts w:hint="eastAsia" w:ascii="Times New Roman" w:hAnsi="Times New Roman" w:eastAsia="方正小标宋简体" w:cs="方正小标宋简体"/>
          <w:kern w:val="0"/>
          <w:sz w:val="44"/>
          <w:szCs w:val="36"/>
        </w:rPr>
        <w:t>2019年8月全省183个县（市、区）城市环境空气质量排名</w:t>
      </w: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方正小标宋简体" w:cs="方正小标宋简体"/>
          <w:kern w:val="0"/>
          <w:sz w:val="44"/>
          <w:szCs w:val="36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36"/>
        </w:rPr>
        <w:t>前（后）10位名单</w:t>
      </w: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方正小标宋简体" w:cs="方正小标宋简体"/>
          <w:kern w:val="0"/>
          <w:sz w:val="44"/>
          <w:szCs w:val="36"/>
        </w:rPr>
      </w:pPr>
    </w:p>
    <w:bookmarkEnd w:id="0"/>
    <w:tbl>
      <w:tblPr>
        <w:tblStyle w:val="15"/>
        <w:tblW w:w="13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3675"/>
        <w:gridCol w:w="3675"/>
        <w:gridCol w:w="2579"/>
        <w:gridCol w:w="3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7350" w:type="dxa"/>
            <w:gridSpan w:val="2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前10位名单</w:t>
            </w:r>
          </w:p>
        </w:tc>
        <w:tc>
          <w:tcPr>
            <w:tcW w:w="6250" w:type="dxa"/>
            <w:gridSpan w:val="2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后10位名单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36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综合指数排名</w:t>
            </w:r>
          </w:p>
        </w:tc>
        <w:tc>
          <w:tcPr>
            <w:tcW w:w="3675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2579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综合指数排名</w:t>
            </w:r>
          </w:p>
        </w:tc>
        <w:tc>
          <w:tcPr>
            <w:tcW w:w="3671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36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67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小金县</w:t>
            </w:r>
          </w:p>
        </w:tc>
        <w:tc>
          <w:tcPr>
            <w:tcW w:w="2579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182</w:t>
            </w:r>
          </w:p>
        </w:tc>
        <w:tc>
          <w:tcPr>
            <w:tcW w:w="367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攀枝花市东区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36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367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泸定县</w:t>
            </w:r>
          </w:p>
        </w:tc>
        <w:tc>
          <w:tcPr>
            <w:tcW w:w="2579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181</w:t>
            </w:r>
          </w:p>
        </w:tc>
        <w:tc>
          <w:tcPr>
            <w:tcW w:w="367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成都市成华区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36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367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炉霍县</w:t>
            </w:r>
          </w:p>
        </w:tc>
        <w:tc>
          <w:tcPr>
            <w:tcW w:w="2579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180</w:t>
            </w:r>
          </w:p>
        </w:tc>
        <w:tc>
          <w:tcPr>
            <w:tcW w:w="367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攀枝花市西区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36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367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甘孜县</w:t>
            </w:r>
          </w:p>
        </w:tc>
        <w:tc>
          <w:tcPr>
            <w:tcW w:w="2579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179</w:t>
            </w:r>
          </w:p>
        </w:tc>
        <w:tc>
          <w:tcPr>
            <w:tcW w:w="367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攀枝花市仁和区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36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367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木里县</w:t>
            </w:r>
          </w:p>
        </w:tc>
        <w:tc>
          <w:tcPr>
            <w:tcW w:w="2579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178</w:t>
            </w:r>
          </w:p>
        </w:tc>
        <w:tc>
          <w:tcPr>
            <w:tcW w:w="367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达州市达川区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36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367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马尔康市</w:t>
            </w:r>
          </w:p>
        </w:tc>
        <w:tc>
          <w:tcPr>
            <w:tcW w:w="2579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177</w:t>
            </w:r>
          </w:p>
        </w:tc>
        <w:tc>
          <w:tcPr>
            <w:tcW w:w="367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成都市新都区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36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367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理塘县</w:t>
            </w:r>
          </w:p>
        </w:tc>
        <w:tc>
          <w:tcPr>
            <w:tcW w:w="2579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176</w:t>
            </w:r>
          </w:p>
        </w:tc>
        <w:tc>
          <w:tcPr>
            <w:tcW w:w="367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泸州市龙马潭区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36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367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丹巴县</w:t>
            </w:r>
          </w:p>
        </w:tc>
        <w:tc>
          <w:tcPr>
            <w:tcW w:w="2579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175</w:t>
            </w:r>
          </w:p>
        </w:tc>
        <w:tc>
          <w:tcPr>
            <w:tcW w:w="367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成都市青白江区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36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367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新龙县</w:t>
            </w:r>
          </w:p>
        </w:tc>
        <w:tc>
          <w:tcPr>
            <w:tcW w:w="2579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174</w:t>
            </w:r>
          </w:p>
        </w:tc>
        <w:tc>
          <w:tcPr>
            <w:tcW w:w="367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成都市武侯区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exact"/>
          <w:jc w:val="center"/>
        </w:trPr>
        <w:tc>
          <w:tcPr>
            <w:tcW w:w="367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367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九龙县</w:t>
            </w:r>
          </w:p>
        </w:tc>
        <w:tc>
          <w:tcPr>
            <w:tcW w:w="2579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173</w:t>
            </w:r>
          </w:p>
        </w:tc>
        <w:tc>
          <w:tcPr>
            <w:tcW w:w="367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达州市通川区、成都市青羊区</w:t>
            </w:r>
          </w:p>
        </w:tc>
      </w:tr>
    </w:tbl>
    <w:p>
      <w:pPr>
        <w:overflowPunct w:val="0"/>
        <w:topLinePunct/>
        <w:spacing w:line="600" w:lineRule="exact"/>
        <w:rPr>
          <w:rFonts w:ascii="Times New Roman" w:hAnsi="Times New Roman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仿宋_GB2312"/>
          <w:kern w:val="0"/>
          <w:sz w:val="24"/>
          <w:szCs w:val="24"/>
        </w:rPr>
        <w:t>备注：成都市金牛区无评价点，全省共182个站点参与评价。</w:t>
      </w:r>
    </w:p>
    <w:p>
      <w:pPr>
        <w:overflowPunct w:val="0"/>
        <w:topLinePunct/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br w:type="page"/>
      </w: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2</w:t>
      </w:r>
    </w:p>
    <w:p>
      <w:pPr>
        <w:overflowPunct w:val="0"/>
        <w:topLinePunct/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方正小标宋简体" w:cs="方正小标宋简体"/>
          <w:kern w:val="0"/>
          <w:sz w:val="44"/>
          <w:szCs w:val="36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36"/>
        </w:rPr>
        <w:t>2019年8月全省未达标县（市、区）城市环境空气质量</w:t>
      </w: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方正小标宋简体" w:cs="方正小标宋简体"/>
          <w:kern w:val="0"/>
          <w:sz w:val="44"/>
          <w:szCs w:val="36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36"/>
        </w:rPr>
        <w:t>变化程度排名前（后）10位名单</w:t>
      </w:r>
    </w:p>
    <w:tbl>
      <w:tblPr>
        <w:tblStyle w:val="15"/>
        <w:tblW w:w="13457" w:type="dxa"/>
        <w:tblInd w:w="0" w:type="dxa"/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817"/>
        <w:gridCol w:w="2125"/>
        <w:gridCol w:w="1420"/>
        <w:gridCol w:w="1415"/>
        <w:gridCol w:w="853"/>
        <w:gridCol w:w="850"/>
        <w:gridCol w:w="2267"/>
        <w:gridCol w:w="1418"/>
        <w:gridCol w:w="1308"/>
        <w:gridCol w:w="984"/>
      </w:tblGrid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exact"/>
        </w:trPr>
        <w:tc>
          <w:tcPr>
            <w:tcW w:w="6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前10位名单</w:t>
            </w:r>
          </w:p>
        </w:tc>
        <w:tc>
          <w:tcPr>
            <w:tcW w:w="68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后10位名单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27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排名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综合指数变化率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空气质量变化情况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变化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因子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排名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综合指数变化率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空气质量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变化情况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变化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因子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江安县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-25.4%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改善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PM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80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西昌市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30.1%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恶化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O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西充县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-24.0%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改善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PM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79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泸州市龙马潭区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25.9%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恶化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PM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2.5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广汉市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-23.7%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改善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PM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78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绵阳市安州区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22.9%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恶化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O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绵竹市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-21.3%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改善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PM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77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泸州市江阳区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22.8%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恶化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O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成都市武侯区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-14.6%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改善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PM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76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筠连县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21.1%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恶化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O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金堂县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-14.3%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改善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NO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75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达州市达川区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20.5%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恶化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PM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荣县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-14.1%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改善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PM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74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攀枝花市东区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20.3%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恶化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PM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2.5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成都市温江区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-13.7%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改善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PM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73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江油市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20.2%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恶化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O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97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夹江县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-13.0%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改善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PM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72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自贡市自流井区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18.2%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恶化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O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37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乐山市沙湾区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-12.0%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改善</w:t>
            </w: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PM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72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华蓥市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18.2%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恶化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PM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2.5</w:t>
            </w:r>
          </w:p>
        </w:tc>
      </w:tr>
      <w:tr>
        <w:tblPrEx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57" w:hRule="exac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72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达州市通川区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18.2%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恶化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NO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2</w:t>
            </w:r>
          </w:p>
        </w:tc>
      </w:tr>
    </w:tbl>
    <w:p>
      <w:pPr>
        <w:overflowPunct w:val="0"/>
        <w:topLinePunct/>
        <w:spacing w:line="600" w:lineRule="exact"/>
        <w:ind w:left="660" w:hanging="660" w:hangingChars="300"/>
        <w:rPr>
          <w:rFonts w:ascii="Times New Roman" w:hAnsi="Times New Roman" w:eastAsia="仿宋_GB2312"/>
          <w:spacing w:val="-10"/>
          <w:kern w:val="0"/>
          <w:sz w:val="24"/>
          <w:szCs w:val="24"/>
        </w:rPr>
      </w:pPr>
      <w:r>
        <w:rPr>
          <w:rFonts w:ascii="Times New Roman" w:hAnsi="Times New Roman" w:eastAsia="仿宋_GB2312"/>
          <w:spacing w:val="-10"/>
          <w:kern w:val="0"/>
          <w:sz w:val="24"/>
          <w:szCs w:val="24"/>
        </w:rPr>
        <w:t>备注：</w:t>
      </w:r>
      <w:r>
        <w:rPr>
          <w:rFonts w:hint="eastAsia" w:ascii="Times New Roman" w:hAnsi="Times New Roman" w:eastAsia="仿宋_GB2312"/>
          <w:spacing w:val="-10"/>
          <w:kern w:val="0"/>
          <w:sz w:val="24"/>
          <w:szCs w:val="24"/>
        </w:rPr>
        <w:t>8月共80个县（市、区）</w:t>
      </w:r>
      <w:r>
        <w:rPr>
          <w:rFonts w:ascii="Times New Roman" w:hAnsi="Times New Roman" w:eastAsia="仿宋_GB2312"/>
          <w:spacing w:val="-10"/>
          <w:kern w:val="0"/>
          <w:sz w:val="24"/>
          <w:szCs w:val="24"/>
        </w:rPr>
        <w:t>环境空气质量</w:t>
      </w:r>
      <w:r>
        <w:rPr>
          <w:rFonts w:hint="eastAsia" w:ascii="Times New Roman" w:hAnsi="Times New Roman" w:eastAsia="仿宋_GB2312"/>
          <w:spacing w:val="-10"/>
          <w:kern w:val="0"/>
          <w:sz w:val="24"/>
          <w:szCs w:val="24"/>
        </w:rPr>
        <w:t>不达标，仅不</w:t>
      </w:r>
      <w:r>
        <w:rPr>
          <w:rFonts w:ascii="Times New Roman" w:hAnsi="Times New Roman" w:eastAsia="仿宋_GB2312"/>
          <w:spacing w:val="-10"/>
          <w:kern w:val="0"/>
          <w:sz w:val="24"/>
          <w:szCs w:val="24"/>
        </w:rPr>
        <w:t>达标县（市、区）参与环境空气质量变化程度排名</w:t>
      </w:r>
      <w:r>
        <w:rPr>
          <w:rFonts w:hint="eastAsia" w:ascii="Times New Roman" w:hAnsi="Times New Roman" w:eastAsia="仿宋_GB2312"/>
          <w:spacing w:val="-10"/>
          <w:kern w:val="0"/>
          <w:sz w:val="24"/>
          <w:szCs w:val="24"/>
        </w:rPr>
        <w:t>。</w:t>
      </w:r>
    </w:p>
    <w:p>
      <w:pPr>
        <w:overflowPunct w:val="0"/>
        <w:topLinePunct/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br w:type="page"/>
      </w: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3</w:t>
      </w: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方正小标宋简体" w:cs="方正小标宋简体"/>
          <w:kern w:val="0"/>
          <w:sz w:val="44"/>
          <w:szCs w:val="36"/>
        </w:rPr>
      </w:pP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方正小标宋简体" w:cs="方正小标宋简体"/>
          <w:kern w:val="0"/>
          <w:sz w:val="44"/>
          <w:szCs w:val="36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36"/>
        </w:rPr>
        <w:t>2019年8月重点区域空气质量排名前（后）5位名单</w:t>
      </w: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方正小标宋简体"/>
          <w:kern w:val="0"/>
          <w:sz w:val="44"/>
          <w:szCs w:val="36"/>
        </w:rPr>
      </w:pPr>
    </w:p>
    <w:tbl>
      <w:tblPr>
        <w:tblStyle w:val="15"/>
        <w:tblW w:w="13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754"/>
        <w:gridCol w:w="1486"/>
        <w:gridCol w:w="814"/>
        <w:gridCol w:w="1426"/>
        <w:gridCol w:w="784"/>
        <w:gridCol w:w="1456"/>
        <w:gridCol w:w="774"/>
        <w:gridCol w:w="1466"/>
        <w:gridCol w:w="764"/>
        <w:gridCol w:w="1476"/>
        <w:gridCol w:w="754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6720" w:type="dxa"/>
            <w:gridSpan w:val="6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前5位名单</w:t>
            </w:r>
          </w:p>
        </w:tc>
        <w:tc>
          <w:tcPr>
            <w:tcW w:w="6720" w:type="dxa"/>
            <w:gridSpan w:val="6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后5位名单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2240" w:type="dxa"/>
            <w:gridSpan w:val="2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成都平原经济圈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川南地区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川东北地区</w:t>
            </w:r>
          </w:p>
        </w:tc>
        <w:tc>
          <w:tcPr>
            <w:tcW w:w="2240" w:type="dxa"/>
            <w:gridSpan w:val="2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成都平原经济圈</w:t>
            </w:r>
          </w:p>
        </w:tc>
        <w:tc>
          <w:tcPr>
            <w:tcW w:w="2240" w:type="dxa"/>
            <w:gridSpan w:val="2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川南地区</w:t>
            </w:r>
          </w:p>
        </w:tc>
        <w:tc>
          <w:tcPr>
            <w:tcW w:w="2240" w:type="dxa"/>
            <w:gridSpan w:val="2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川东北地区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综合指数排名</w:t>
            </w:r>
          </w:p>
        </w:tc>
        <w:tc>
          <w:tcPr>
            <w:tcW w:w="1486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县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（市、区）</w:t>
            </w:r>
          </w:p>
        </w:tc>
        <w:tc>
          <w:tcPr>
            <w:tcW w:w="81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综合指数排名</w:t>
            </w:r>
          </w:p>
        </w:tc>
        <w:tc>
          <w:tcPr>
            <w:tcW w:w="142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县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（市、区）</w:t>
            </w:r>
          </w:p>
        </w:tc>
        <w:tc>
          <w:tcPr>
            <w:tcW w:w="78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综合指数排名</w:t>
            </w:r>
          </w:p>
        </w:tc>
        <w:tc>
          <w:tcPr>
            <w:tcW w:w="1456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县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（市、区）</w:t>
            </w:r>
          </w:p>
        </w:tc>
        <w:tc>
          <w:tcPr>
            <w:tcW w:w="77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综合指数排名</w:t>
            </w:r>
          </w:p>
        </w:tc>
        <w:tc>
          <w:tcPr>
            <w:tcW w:w="146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县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（市、区）</w:t>
            </w:r>
          </w:p>
        </w:tc>
        <w:tc>
          <w:tcPr>
            <w:tcW w:w="76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综合指数排名</w:t>
            </w:r>
          </w:p>
        </w:tc>
        <w:tc>
          <w:tcPr>
            <w:tcW w:w="147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县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（市、区）</w:t>
            </w:r>
          </w:p>
        </w:tc>
        <w:tc>
          <w:tcPr>
            <w:tcW w:w="75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综合指数排名</w:t>
            </w:r>
          </w:p>
        </w:tc>
        <w:tc>
          <w:tcPr>
            <w:tcW w:w="1486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县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8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芦山县</w:t>
            </w:r>
          </w:p>
        </w:tc>
        <w:tc>
          <w:tcPr>
            <w:tcW w:w="81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高县</w:t>
            </w:r>
          </w:p>
        </w:tc>
        <w:tc>
          <w:tcPr>
            <w:tcW w:w="78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45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青川县</w:t>
            </w:r>
          </w:p>
        </w:tc>
        <w:tc>
          <w:tcPr>
            <w:tcW w:w="77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成都市成华区</w:t>
            </w:r>
          </w:p>
        </w:tc>
        <w:tc>
          <w:tcPr>
            <w:tcW w:w="76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28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泸州市龙马潭区</w:t>
            </w:r>
          </w:p>
        </w:tc>
        <w:tc>
          <w:tcPr>
            <w:tcW w:w="75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34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达州市达川区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8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宝兴县</w:t>
            </w:r>
          </w:p>
        </w:tc>
        <w:tc>
          <w:tcPr>
            <w:tcW w:w="81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兴文县</w:t>
            </w:r>
          </w:p>
        </w:tc>
        <w:tc>
          <w:tcPr>
            <w:tcW w:w="78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5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广元市朝天区</w:t>
            </w:r>
          </w:p>
        </w:tc>
        <w:tc>
          <w:tcPr>
            <w:tcW w:w="77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成都市新都区</w:t>
            </w:r>
          </w:p>
        </w:tc>
        <w:tc>
          <w:tcPr>
            <w:tcW w:w="76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27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长宁县</w:t>
            </w:r>
          </w:p>
        </w:tc>
        <w:tc>
          <w:tcPr>
            <w:tcW w:w="75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33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达州市通川区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48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荥经县</w:t>
            </w:r>
          </w:p>
        </w:tc>
        <w:tc>
          <w:tcPr>
            <w:tcW w:w="81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古蔺县</w:t>
            </w:r>
          </w:p>
        </w:tc>
        <w:tc>
          <w:tcPr>
            <w:tcW w:w="78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45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平昌县</w:t>
            </w:r>
          </w:p>
        </w:tc>
        <w:tc>
          <w:tcPr>
            <w:tcW w:w="77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65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成都市青白江区</w:t>
            </w:r>
          </w:p>
        </w:tc>
        <w:tc>
          <w:tcPr>
            <w:tcW w:w="76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26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自贡市自流井区</w:t>
            </w:r>
          </w:p>
        </w:tc>
        <w:tc>
          <w:tcPr>
            <w:tcW w:w="75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32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大竹县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48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石棉县</w:t>
            </w:r>
          </w:p>
        </w:tc>
        <w:tc>
          <w:tcPr>
            <w:tcW w:w="81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资中县</w:t>
            </w:r>
          </w:p>
        </w:tc>
        <w:tc>
          <w:tcPr>
            <w:tcW w:w="78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45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剑阁县</w:t>
            </w:r>
          </w:p>
        </w:tc>
        <w:tc>
          <w:tcPr>
            <w:tcW w:w="77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64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成都市武侯区</w:t>
            </w:r>
          </w:p>
        </w:tc>
        <w:tc>
          <w:tcPr>
            <w:tcW w:w="76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自贡市贡井区</w:t>
            </w:r>
          </w:p>
        </w:tc>
        <w:tc>
          <w:tcPr>
            <w:tcW w:w="75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31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南充市高坪区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atLeast"/>
          <w:jc w:val="center"/>
        </w:trPr>
        <w:tc>
          <w:tcPr>
            <w:tcW w:w="75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48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平武县</w:t>
            </w:r>
          </w:p>
        </w:tc>
        <w:tc>
          <w:tcPr>
            <w:tcW w:w="81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荣县、威远县</w:t>
            </w:r>
          </w:p>
        </w:tc>
        <w:tc>
          <w:tcPr>
            <w:tcW w:w="78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456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广元市昭化区</w:t>
            </w:r>
          </w:p>
        </w:tc>
        <w:tc>
          <w:tcPr>
            <w:tcW w:w="774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63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成都市青羊区</w:t>
            </w:r>
          </w:p>
        </w:tc>
        <w:tc>
          <w:tcPr>
            <w:tcW w:w="76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泸县</w:t>
            </w:r>
          </w:p>
        </w:tc>
        <w:tc>
          <w:tcPr>
            <w:tcW w:w="754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华蓥市</w:t>
            </w:r>
          </w:p>
        </w:tc>
      </w:tr>
    </w:tbl>
    <w:p>
      <w:pPr>
        <w:overflowPunct w:val="0"/>
        <w:topLinePunct/>
        <w:spacing w:line="240" w:lineRule="exact"/>
        <w:ind w:firstLine="646"/>
        <w:rPr>
          <w:rFonts w:ascii="Times New Roman" w:hAnsi="Times New Roman" w:eastAsia="仿宋_GB2312"/>
          <w:b/>
          <w:kern w:val="0"/>
          <w:sz w:val="32"/>
          <w:szCs w:val="32"/>
        </w:rPr>
      </w:pPr>
    </w:p>
    <w:p>
      <w:pPr>
        <w:overflowPunct w:val="0"/>
        <w:topLinePunct/>
        <w:spacing w:line="600" w:lineRule="exact"/>
        <w:rPr>
          <w:rFonts w:ascii="Times New Roman" w:hAnsi="Times New Roman" w:eastAsia="方正小标宋简体"/>
          <w:kern w:val="0"/>
          <w:sz w:val="44"/>
          <w:szCs w:val="36"/>
        </w:rPr>
      </w:pPr>
      <w:r>
        <w:rPr>
          <w:rFonts w:ascii="Times New Roman" w:hAnsi="Times New Roman" w:eastAsia="黑体"/>
          <w:sz w:val="32"/>
          <w:szCs w:val="32"/>
        </w:rPr>
        <w:br w:type="page"/>
      </w: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4</w:t>
      </w: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方正小标宋简体"/>
          <w:kern w:val="0"/>
          <w:sz w:val="44"/>
          <w:szCs w:val="36"/>
        </w:rPr>
      </w:pPr>
      <w:bookmarkStart w:id="1" w:name="_Hlk526777885"/>
      <w:r>
        <w:rPr>
          <w:rFonts w:ascii="Times New Roman" w:hAnsi="Times New Roman" w:eastAsia="方正小标宋简体"/>
          <w:kern w:val="0"/>
          <w:sz w:val="44"/>
          <w:szCs w:val="36"/>
        </w:rPr>
        <w:t>2019年</w:t>
      </w:r>
      <w:r>
        <w:rPr>
          <w:rFonts w:hint="eastAsia" w:ascii="Times New Roman" w:hAnsi="Times New Roman" w:eastAsia="方正小标宋简体"/>
          <w:kern w:val="0"/>
          <w:sz w:val="44"/>
          <w:szCs w:val="36"/>
        </w:rPr>
        <w:t>8月</w:t>
      </w:r>
      <w:r>
        <w:rPr>
          <w:rFonts w:ascii="Times New Roman" w:hAnsi="Times New Roman" w:eastAsia="方正小标宋简体"/>
          <w:kern w:val="0"/>
          <w:sz w:val="44"/>
          <w:szCs w:val="36"/>
        </w:rPr>
        <w:t>重点区域未达标县（市、区）空气质量变化程度排名</w:t>
      </w: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方正小标宋简体"/>
          <w:kern w:val="0"/>
          <w:sz w:val="44"/>
          <w:szCs w:val="36"/>
        </w:rPr>
      </w:pPr>
      <w:r>
        <w:rPr>
          <w:rFonts w:ascii="Times New Roman" w:hAnsi="Times New Roman" w:eastAsia="方正小标宋简体"/>
          <w:kern w:val="0"/>
          <w:sz w:val="44"/>
          <w:szCs w:val="36"/>
        </w:rPr>
        <w:t>前</w:t>
      </w:r>
      <w:r>
        <w:rPr>
          <w:rFonts w:hint="eastAsia" w:ascii="Times New Roman" w:hAnsi="Times New Roman" w:eastAsia="方正小标宋简体"/>
          <w:kern w:val="0"/>
          <w:sz w:val="44"/>
          <w:szCs w:val="36"/>
        </w:rPr>
        <w:t>（后）</w:t>
      </w:r>
      <w:r>
        <w:rPr>
          <w:rFonts w:ascii="Times New Roman" w:hAnsi="Times New Roman" w:eastAsia="方正小标宋简体"/>
          <w:kern w:val="0"/>
          <w:sz w:val="44"/>
          <w:szCs w:val="36"/>
        </w:rPr>
        <w:t>5位名单</w:t>
      </w:r>
    </w:p>
    <w:bookmarkEnd w:id="1"/>
    <w:tbl>
      <w:tblPr>
        <w:tblStyle w:val="15"/>
        <w:tblW w:w="13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409"/>
        <w:gridCol w:w="722"/>
        <w:gridCol w:w="1932"/>
        <w:gridCol w:w="1243"/>
        <w:gridCol w:w="1155"/>
        <w:gridCol w:w="1012"/>
        <w:gridCol w:w="721"/>
        <w:gridCol w:w="2021"/>
        <w:gridCol w:w="1299"/>
        <w:gridCol w:w="1113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exact"/>
        </w:trPr>
        <w:tc>
          <w:tcPr>
            <w:tcW w:w="1409" w:type="dxa"/>
            <w:vMerge w:val="restart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区域</w:t>
            </w:r>
          </w:p>
        </w:tc>
        <w:tc>
          <w:tcPr>
            <w:tcW w:w="6064" w:type="dxa"/>
            <w:gridSpan w:val="5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前5位名单</w:t>
            </w:r>
          </w:p>
        </w:tc>
        <w:tc>
          <w:tcPr>
            <w:tcW w:w="6005" w:type="dxa"/>
            <w:gridSpan w:val="5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后5位名单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38" w:hRule="exact"/>
        </w:trPr>
        <w:tc>
          <w:tcPr>
            <w:tcW w:w="1409" w:type="dxa"/>
            <w:vMerge w:val="continue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排名</w:t>
            </w:r>
          </w:p>
        </w:tc>
        <w:tc>
          <w:tcPr>
            <w:tcW w:w="1932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243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综合指数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变化率</w:t>
            </w:r>
          </w:p>
        </w:tc>
        <w:tc>
          <w:tcPr>
            <w:tcW w:w="1155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空气质量变化情况</w:t>
            </w:r>
          </w:p>
        </w:tc>
        <w:tc>
          <w:tcPr>
            <w:tcW w:w="1012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变化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因子</w:t>
            </w:r>
          </w:p>
        </w:tc>
        <w:tc>
          <w:tcPr>
            <w:tcW w:w="721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排名</w:t>
            </w:r>
          </w:p>
        </w:tc>
        <w:tc>
          <w:tcPr>
            <w:tcW w:w="2021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1299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综合指数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变化率</w:t>
            </w:r>
          </w:p>
        </w:tc>
        <w:tc>
          <w:tcPr>
            <w:tcW w:w="1113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空气质量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变化情况</w:t>
            </w:r>
          </w:p>
        </w:tc>
        <w:tc>
          <w:tcPr>
            <w:tcW w:w="851" w:type="dxa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变化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exact"/>
        </w:trPr>
        <w:tc>
          <w:tcPr>
            <w:tcW w:w="1409" w:type="dxa"/>
            <w:vMerge w:val="restart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成都平原</w:t>
            </w:r>
          </w:p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经济圈</w:t>
            </w:r>
          </w:p>
        </w:tc>
        <w:tc>
          <w:tcPr>
            <w:tcW w:w="722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9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广汉市</w:t>
            </w:r>
          </w:p>
        </w:tc>
        <w:tc>
          <w:tcPr>
            <w:tcW w:w="1243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-23.7%</w:t>
            </w: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改善</w:t>
            </w:r>
          </w:p>
        </w:tc>
        <w:tc>
          <w:tcPr>
            <w:tcW w:w="1012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PM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721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43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绵阳市安州区</w:t>
            </w:r>
          </w:p>
        </w:tc>
        <w:tc>
          <w:tcPr>
            <w:tcW w:w="1299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22.9%</w:t>
            </w:r>
          </w:p>
        </w:tc>
        <w:tc>
          <w:tcPr>
            <w:tcW w:w="111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恶化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O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exact"/>
        </w:trPr>
        <w:tc>
          <w:tcPr>
            <w:tcW w:w="1409" w:type="dxa"/>
            <w:vMerge w:val="continue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9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绵竹市</w:t>
            </w:r>
          </w:p>
        </w:tc>
        <w:tc>
          <w:tcPr>
            <w:tcW w:w="1243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-21.3%</w:t>
            </w: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改善</w:t>
            </w:r>
          </w:p>
        </w:tc>
        <w:tc>
          <w:tcPr>
            <w:tcW w:w="1012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PM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42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江油市</w:t>
            </w:r>
          </w:p>
        </w:tc>
        <w:tc>
          <w:tcPr>
            <w:tcW w:w="1299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20.2%</w:t>
            </w:r>
          </w:p>
        </w:tc>
        <w:tc>
          <w:tcPr>
            <w:tcW w:w="111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恶化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O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exact"/>
        </w:trPr>
        <w:tc>
          <w:tcPr>
            <w:tcW w:w="1409" w:type="dxa"/>
            <w:vMerge w:val="continue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9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成都市武侯区</w:t>
            </w:r>
          </w:p>
        </w:tc>
        <w:tc>
          <w:tcPr>
            <w:tcW w:w="1243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-14.6%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改善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PM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721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41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眉山市彭山区</w:t>
            </w:r>
          </w:p>
        </w:tc>
        <w:tc>
          <w:tcPr>
            <w:tcW w:w="1299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11.2%</w:t>
            </w:r>
          </w:p>
        </w:tc>
        <w:tc>
          <w:tcPr>
            <w:tcW w:w="111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恶化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O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exact"/>
        </w:trPr>
        <w:tc>
          <w:tcPr>
            <w:tcW w:w="1409" w:type="dxa"/>
            <w:vMerge w:val="continue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9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金堂县</w:t>
            </w:r>
          </w:p>
        </w:tc>
        <w:tc>
          <w:tcPr>
            <w:tcW w:w="1243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-14.3%</w:t>
            </w: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改善</w:t>
            </w:r>
          </w:p>
        </w:tc>
        <w:tc>
          <w:tcPr>
            <w:tcW w:w="1012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NO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21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40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大英县</w:t>
            </w:r>
          </w:p>
        </w:tc>
        <w:tc>
          <w:tcPr>
            <w:tcW w:w="1299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7.8%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恶化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O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exact"/>
        </w:trPr>
        <w:tc>
          <w:tcPr>
            <w:tcW w:w="1409" w:type="dxa"/>
            <w:vMerge w:val="continue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9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成都市温江区</w:t>
            </w:r>
          </w:p>
        </w:tc>
        <w:tc>
          <w:tcPr>
            <w:tcW w:w="1243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-13.7%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改善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PM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39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遂宁市安居区</w:t>
            </w:r>
          </w:p>
        </w:tc>
        <w:tc>
          <w:tcPr>
            <w:tcW w:w="1299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6.9%</w:t>
            </w:r>
          </w:p>
        </w:tc>
        <w:tc>
          <w:tcPr>
            <w:tcW w:w="111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恶化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O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exact"/>
        </w:trPr>
        <w:tc>
          <w:tcPr>
            <w:tcW w:w="1409" w:type="dxa"/>
            <w:vMerge w:val="restart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川南地区</w:t>
            </w:r>
          </w:p>
        </w:tc>
        <w:tc>
          <w:tcPr>
            <w:tcW w:w="722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9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江安县</w:t>
            </w:r>
          </w:p>
        </w:tc>
        <w:tc>
          <w:tcPr>
            <w:tcW w:w="1243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-25.4%</w:t>
            </w: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改善</w:t>
            </w:r>
          </w:p>
        </w:tc>
        <w:tc>
          <w:tcPr>
            <w:tcW w:w="1012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PM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泸州市龙马潭区</w:t>
            </w:r>
          </w:p>
        </w:tc>
        <w:tc>
          <w:tcPr>
            <w:tcW w:w="1299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25.9%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恶化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PM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exact"/>
        </w:trPr>
        <w:tc>
          <w:tcPr>
            <w:tcW w:w="1409" w:type="dxa"/>
            <w:vMerge w:val="continue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9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荣县</w:t>
            </w:r>
          </w:p>
        </w:tc>
        <w:tc>
          <w:tcPr>
            <w:tcW w:w="1243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-14.1%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改善</w:t>
            </w:r>
          </w:p>
        </w:tc>
        <w:tc>
          <w:tcPr>
            <w:tcW w:w="101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PM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泸州市江阳区</w:t>
            </w:r>
          </w:p>
        </w:tc>
        <w:tc>
          <w:tcPr>
            <w:tcW w:w="1299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22.8%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恶化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O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exact"/>
        </w:trPr>
        <w:tc>
          <w:tcPr>
            <w:tcW w:w="1409" w:type="dxa"/>
            <w:vMerge w:val="continue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9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屏山县</w:t>
            </w:r>
          </w:p>
        </w:tc>
        <w:tc>
          <w:tcPr>
            <w:tcW w:w="1243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-11.6%</w:t>
            </w: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改善</w:t>
            </w:r>
          </w:p>
        </w:tc>
        <w:tc>
          <w:tcPr>
            <w:tcW w:w="101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PM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筠连县</w:t>
            </w:r>
          </w:p>
        </w:tc>
        <w:tc>
          <w:tcPr>
            <w:tcW w:w="1299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21.1%</w:t>
            </w:r>
          </w:p>
        </w:tc>
        <w:tc>
          <w:tcPr>
            <w:tcW w:w="111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恶化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O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exact"/>
        </w:trPr>
        <w:tc>
          <w:tcPr>
            <w:tcW w:w="1409" w:type="dxa"/>
            <w:vMerge w:val="continue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9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资中县</w:t>
            </w:r>
          </w:p>
        </w:tc>
        <w:tc>
          <w:tcPr>
            <w:tcW w:w="1243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-10.4%</w:t>
            </w: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改善</w:t>
            </w:r>
          </w:p>
        </w:tc>
        <w:tc>
          <w:tcPr>
            <w:tcW w:w="1012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PM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自贡市自流井区</w:t>
            </w:r>
          </w:p>
        </w:tc>
        <w:tc>
          <w:tcPr>
            <w:tcW w:w="1299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18.2%</w:t>
            </w:r>
          </w:p>
        </w:tc>
        <w:tc>
          <w:tcPr>
            <w:tcW w:w="111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恶化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O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exact"/>
        </w:trPr>
        <w:tc>
          <w:tcPr>
            <w:tcW w:w="1409" w:type="dxa"/>
            <w:vMerge w:val="continue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9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富顺县</w:t>
            </w:r>
          </w:p>
        </w:tc>
        <w:tc>
          <w:tcPr>
            <w:tcW w:w="1243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-8.4%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改善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NO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宜宾市南溪区</w:t>
            </w:r>
          </w:p>
        </w:tc>
        <w:tc>
          <w:tcPr>
            <w:tcW w:w="1299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18.0%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恶化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PM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exact"/>
        </w:trPr>
        <w:tc>
          <w:tcPr>
            <w:tcW w:w="1409" w:type="dxa"/>
            <w:vMerge w:val="restart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川东北地区</w:t>
            </w:r>
          </w:p>
        </w:tc>
        <w:tc>
          <w:tcPr>
            <w:tcW w:w="722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9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西充县</w:t>
            </w:r>
          </w:p>
        </w:tc>
        <w:tc>
          <w:tcPr>
            <w:tcW w:w="1243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-24.0%</w:t>
            </w: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改善</w:t>
            </w:r>
          </w:p>
        </w:tc>
        <w:tc>
          <w:tcPr>
            <w:tcW w:w="1012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PM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721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10 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达州市达川区</w:t>
            </w:r>
          </w:p>
        </w:tc>
        <w:tc>
          <w:tcPr>
            <w:tcW w:w="1299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20.5%</w:t>
            </w:r>
          </w:p>
        </w:tc>
        <w:tc>
          <w:tcPr>
            <w:tcW w:w="111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恶化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PM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exact"/>
        </w:trPr>
        <w:tc>
          <w:tcPr>
            <w:tcW w:w="1409" w:type="dxa"/>
            <w:vMerge w:val="continue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9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南充市嘉陵区</w:t>
            </w:r>
          </w:p>
        </w:tc>
        <w:tc>
          <w:tcPr>
            <w:tcW w:w="1243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-9.3%</w:t>
            </w: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改善</w:t>
            </w:r>
          </w:p>
        </w:tc>
        <w:tc>
          <w:tcPr>
            <w:tcW w:w="1012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NO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21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9 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华蓥市</w:t>
            </w:r>
          </w:p>
        </w:tc>
        <w:tc>
          <w:tcPr>
            <w:tcW w:w="1299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18.2%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恶化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PM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exact"/>
        </w:trPr>
        <w:tc>
          <w:tcPr>
            <w:tcW w:w="1409" w:type="dxa"/>
            <w:vMerge w:val="continue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9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广安市广安区</w:t>
            </w:r>
          </w:p>
        </w:tc>
        <w:tc>
          <w:tcPr>
            <w:tcW w:w="1243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-3.8%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改善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PM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达州市通川区</w:t>
            </w:r>
          </w:p>
        </w:tc>
        <w:tc>
          <w:tcPr>
            <w:tcW w:w="1299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18.2%</w:t>
            </w:r>
          </w:p>
        </w:tc>
        <w:tc>
          <w:tcPr>
            <w:tcW w:w="111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恶化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NO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exact"/>
        </w:trPr>
        <w:tc>
          <w:tcPr>
            <w:tcW w:w="1409" w:type="dxa"/>
            <w:vMerge w:val="continue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9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岳池县</w:t>
            </w:r>
          </w:p>
        </w:tc>
        <w:tc>
          <w:tcPr>
            <w:tcW w:w="1243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-2.7%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改善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PM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721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7 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武胜县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6.7%</w:t>
            </w:r>
          </w:p>
        </w:tc>
        <w:tc>
          <w:tcPr>
            <w:tcW w:w="111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恶化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0" w:hRule="exact"/>
        </w:trPr>
        <w:tc>
          <w:tcPr>
            <w:tcW w:w="1409" w:type="dxa"/>
            <w:vMerge w:val="continue"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93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蓬安县</w:t>
            </w:r>
          </w:p>
        </w:tc>
        <w:tc>
          <w:tcPr>
            <w:tcW w:w="1243" w:type="dxa"/>
            <w:noWrap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-0.4%</w:t>
            </w: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改善</w:t>
            </w:r>
          </w:p>
        </w:tc>
        <w:tc>
          <w:tcPr>
            <w:tcW w:w="1012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NO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21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6 </w:t>
            </w:r>
          </w:p>
        </w:tc>
        <w:tc>
          <w:tcPr>
            <w:tcW w:w="20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邻水县</w:t>
            </w:r>
          </w:p>
        </w:tc>
        <w:tc>
          <w:tcPr>
            <w:tcW w:w="1299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2.7%</w:t>
            </w:r>
          </w:p>
        </w:tc>
        <w:tc>
          <w:tcPr>
            <w:tcW w:w="1113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恶化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O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bscript"/>
              </w:rPr>
              <w:t>3</w:t>
            </w:r>
          </w:p>
        </w:tc>
      </w:tr>
    </w:tbl>
    <w:p>
      <w:pPr>
        <w:overflowPunct w:val="0"/>
        <w:topLinePunct/>
        <w:spacing w:line="400" w:lineRule="exact"/>
        <w:ind w:left="660" w:hanging="660" w:hangingChars="300"/>
        <w:rPr>
          <w:rFonts w:ascii="Times New Roman" w:hAnsi="Times New Roman" w:eastAsia="仿宋_GB2312"/>
          <w:spacing w:val="-10"/>
          <w:kern w:val="0"/>
          <w:sz w:val="24"/>
          <w:szCs w:val="24"/>
        </w:rPr>
      </w:pPr>
      <w:r>
        <w:rPr>
          <w:rFonts w:hint="eastAsia" w:ascii="Times New Roman" w:hAnsi="Times New Roman" w:eastAsia="仿宋_GB2312"/>
          <w:spacing w:val="-10"/>
          <w:kern w:val="0"/>
          <w:sz w:val="24"/>
          <w:szCs w:val="24"/>
          <w:shd w:val="clear" w:color="auto" w:fill="FFFFFF"/>
        </w:rPr>
        <w:t>备注</w:t>
      </w:r>
      <w:r>
        <w:rPr>
          <w:rFonts w:hint="eastAsia" w:ascii="Times New Roman" w:hAnsi="Times New Roman" w:eastAsia="仿宋_GB2312"/>
          <w:spacing w:val="-10"/>
          <w:kern w:val="0"/>
          <w:sz w:val="30"/>
          <w:szCs w:val="30"/>
          <w:shd w:val="clear" w:color="auto" w:fill="FFFFFF"/>
        </w:rPr>
        <w:t>：</w:t>
      </w:r>
      <w:r>
        <w:rPr>
          <w:rFonts w:hint="eastAsia" w:ascii="Times New Roman" w:hAnsi="Times New Roman" w:eastAsia="仿宋_GB2312"/>
          <w:spacing w:val="-10"/>
          <w:kern w:val="0"/>
          <w:sz w:val="24"/>
          <w:szCs w:val="24"/>
          <w:shd w:val="clear" w:color="auto" w:fill="FFFFFF"/>
        </w:rPr>
        <w:t>8月，成都平原经济圈共43个、川南地区22个、川东北地区10个县（市、区）环境空气质量不达标。</w:t>
      </w:r>
    </w:p>
    <w:p>
      <w:pPr>
        <w:overflowPunct w:val="0"/>
        <w:topLinePunct/>
        <w:spacing w:line="540" w:lineRule="exact"/>
        <w:rPr>
          <w:rFonts w:ascii="Times New Roman" w:hAnsi="Times New Roman" w:eastAsia="黑体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588" w:right="2098" w:bottom="1588" w:left="1247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24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240" w:lineRule="exact"/>
        <w:jc w:val="left"/>
        <w:rPr>
          <w:rFonts w:hint="eastAsia" w:ascii="Times New Roman" w:hAnsi="Times New Roman" w:eastAsia="黑体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信息公开选项：</w:t>
      </w:r>
      <w:r>
        <w:rPr>
          <w:rFonts w:ascii="Times New Roman" w:hAnsi="Times New Roman" w:eastAsia="仿宋_GB2312"/>
          <w:sz w:val="32"/>
          <w:szCs w:val="32"/>
        </w:rPr>
        <w:t>主动公开</w:t>
      </w:r>
    </w:p>
    <w:p>
      <w:pPr>
        <w:overflowPunct w:val="0"/>
        <w:topLinePunct/>
        <w:spacing w:line="600" w:lineRule="exact"/>
        <w:ind w:left="1050" w:leftChars="100" w:right="210" w:rightChars="100" w:hanging="840" w:hangingChars="3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28"/>
          <w:szCs w:val="32"/>
        </w:rPr>
        <w:t>抄送：各市（州）人民政府，各市（州）生态环境局、各县（市、区）生态环境局</w:t>
      </w:r>
      <w:r>
        <w:rPr>
          <w:rFonts w:hint="eastAsia" w:ascii="Times New Roman" w:hAnsi="Times New Roman" w:eastAsia="仿宋_GB2312"/>
          <w:sz w:val="28"/>
          <w:szCs w:val="32"/>
        </w:rPr>
        <w:t>。</w:t>
      </w:r>
    </w:p>
    <w:sectPr>
      <w:headerReference r:id="rId11" w:type="first"/>
      <w:footerReference r:id="rId14" w:type="first"/>
      <w:headerReference r:id="rId9" w:type="default"/>
      <w:footerReference r:id="rId12" w:type="default"/>
      <w:headerReference r:id="rId10" w:type="even"/>
      <w:footerReference r:id="rId13" w:type="even"/>
      <w:pgSz w:w="11906" w:h="16838"/>
      <w:pgMar w:top="2098" w:right="1588" w:bottom="1247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jc w:val="right"/>
      <w:rPr>
        <w:rFonts w:ascii="宋体" w:hAnsi="宋体"/>
        <w:b/>
        <w:sz w:val="28"/>
        <w:szCs w:val="28"/>
      </w:rPr>
    </w:pPr>
    <w:r>
      <w:rPr>
        <w:rFonts w:ascii="宋体" w:hAnsi="宋体"/>
        <w:b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-409575</wp:posOffset>
              </wp:positionH>
              <wp:positionV relativeFrom="paragraph">
                <wp:posOffset>-1374775</wp:posOffset>
              </wp:positionV>
              <wp:extent cx="2360930" cy="1404620"/>
              <wp:effectExtent l="0" t="0" r="1905" b="0"/>
              <wp:wrapNone/>
              <wp:docPr id="21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d w:val="-1774543209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ind w:left="210" w:leftChars="100" w:right="210" w:rightChars="100"/>
                                <w:jc w:val="right"/>
                                <w:rPr>
                                  <w:rFonts w:hint="eastAsia" w:ascii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  <w:lang w:val="zh-CN"/>
                                </w:rPr>
                                <w:t>7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文本框 2" o:spid="_x0000_s1026" o:spt="202" type="#_x0000_t202" style="position:absolute;left:0pt;margin-left:-32.25pt;margin-top:-108.25pt;height:110.6pt;width:185.9pt;z-index:-251657216;mso-width-relative:margin;mso-height-relative:margin;mso-width-percent:400;mso-height-percent:200;" fillcolor="#FFFFFF" filled="t" stroked="f" coordsize="21600,21600" o:gfxdata="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K/fT32QAA&#10;AAoBAAAPAAAAAAAAAAEAIAAAACIAAABkcnMvZG93bnJldi54bWxQSwECFAAUAAAACACHTuJAyx5f&#10;wR0CAAAHBAAADgAAAAAAAAABACAAAAAoAQAAZHJzL2Uyb0RvYy54bWxQSwUGAAAAAAYABgBZAQAA&#10;twUAAAAA&#10;">
              <v:fill on="t" focussize="0,0"/>
              <v:stroke on="f" miterlimit="8" joinstyle="miter"/>
              <v:imagedata o:title=""/>
              <o:lock v:ext="edit" aspectratio="f"/>
              <v:textbox style="layout-flow:vertical;mso-fit-shape-to-text:t;">
                <w:txbxContent>
                  <w:sdt>
                    <w:sdtPr>
                      <w:rPr>
                        <w:rFonts w:hint="eastAsia" w:ascii="宋体" w:hAnsi="宋体"/>
                        <w:sz w:val="28"/>
                        <w:szCs w:val="28"/>
                      </w:rPr>
                      <w:id w:val="-1774543209"/>
                      <w:docPartObj>
                        <w:docPartGallery w:val="AutoText"/>
                      </w:docPartObj>
                    </w:sdtPr>
                    <w:sdtEndPr>
                      <w:rPr>
                        <w:rFonts w:hint="eastAsia" w:ascii="宋体" w:hAnsi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ind w:left="210" w:leftChars="100" w:right="210" w:rightChars="100"/>
                          <w:jc w:val="right"/>
                          <w:rPr>
                            <w:rFonts w:hint="eastAsia" w:ascii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  <w:lang w:val="zh-CN"/>
                          </w:rPr>
                          <w:t>7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jc w:val="right"/>
      <w:rPr>
        <w:rFonts w:ascii="宋体" w:hAnsi="宋体"/>
        <w:sz w:val="28"/>
        <w:szCs w:val="2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rPr>
        <w:rFonts w:ascii="宋体" w:hAnsi="宋体"/>
        <w:sz w:val="28"/>
        <w:szCs w:val="2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-409575</wp:posOffset>
              </wp:positionH>
              <wp:positionV relativeFrom="paragraph">
                <wp:posOffset>378460</wp:posOffset>
              </wp:positionV>
              <wp:extent cx="2360930" cy="1404620"/>
              <wp:effectExtent l="0" t="0" r="1905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d w:val="1132528332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ind w:left="210" w:leftChars="100" w:right="210" w:rightChars="100"/>
                                <w:jc w:val="right"/>
                                <w:rPr>
                                  <w:rFonts w:hint="eastAsia" w:ascii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  <w:lang w:val="zh-CN"/>
                                </w:rPr>
                                <w:t>6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文本框 2" o:spid="_x0000_s1026" o:spt="202" type="#_x0000_t202" style="position:absolute;left:0pt;margin-left:-32.25pt;margin-top:29.8pt;height:110.6pt;width:185.9pt;z-index:-251655168;mso-width-relative:margin;mso-height-relative:margin;mso-width-percent:400;mso-height-percent:200;" fillcolor="#FFFFFF" filled="t" stroked="f" coordsize="21600,21600" o:gfxdata="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HzUX+TaAAAA&#10;CgEAAA8AAAAAAAAAAQAgAAAAIgAAAGRycy9kb3ducmV2LnhtbFBLAQIUABQAAAAIAIdO4kC43d7W&#10;GwIAAAUEAAAOAAAAAAAAAAEAIAAAACkBAABkcnMvZTJvRG9jLnhtbFBLBQYAAAAABgAGAFkBAAC2&#10;BQAAAAA=&#10;">
              <v:fill on="t" focussize="0,0"/>
              <v:stroke on="f" miterlimit="8" joinstyle="miter"/>
              <v:imagedata o:title=""/>
              <o:lock v:ext="edit" aspectratio="f"/>
              <v:textbox style="layout-flow:vertical;mso-fit-shape-to-text:t;">
                <w:txbxContent>
                  <w:sdt>
                    <w:sdtPr>
                      <w:rPr>
                        <w:rFonts w:hint="eastAsia" w:ascii="宋体" w:hAnsi="宋体"/>
                        <w:sz w:val="28"/>
                        <w:szCs w:val="28"/>
                      </w:rPr>
                      <w:id w:val="1132528332"/>
                      <w:docPartObj>
                        <w:docPartGallery w:val="AutoText"/>
                      </w:docPartObj>
                    </w:sdtPr>
                    <w:sdtEndPr>
                      <w:rPr>
                        <w:rFonts w:hint="eastAsia" w:ascii="宋体" w:hAnsi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ind w:left="210" w:leftChars="100" w:right="210" w:rightChars="100"/>
                          <w:jc w:val="right"/>
                          <w:rPr>
                            <w:rFonts w:hint="eastAsia" w:ascii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  <w:lang w:val="zh-CN"/>
                          </w:rPr>
                          <w:t>6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10.194.5.103:8089/seeyon/officeservlet"/>
  </w:docVars>
  <w:rsids>
    <w:rsidRoot w:val="00E0093E"/>
    <w:rsid w:val="00023783"/>
    <w:rsid w:val="000370E4"/>
    <w:rsid w:val="0004559B"/>
    <w:rsid w:val="00047DF0"/>
    <w:rsid w:val="00051AD8"/>
    <w:rsid w:val="00056D05"/>
    <w:rsid w:val="0005771B"/>
    <w:rsid w:val="0008681C"/>
    <w:rsid w:val="00091533"/>
    <w:rsid w:val="00095D0C"/>
    <w:rsid w:val="000C72C4"/>
    <w:rsid w:val="000D2BA1"/>
    <w:rsid w:val="000E4BDA"/>
    <w:rsid w:val="00132190"/>
    <w:rsid w:val="001430C4"/>
    <w:rsid w:val="00161B84"/>
    <w:rsid w:val="00176161"/>
    <w:rsid w:val="001837D1"/>
    <w:rsid w:val="00183AC8"/>
    <w:rsid w:val="00185715"/>
    <w:rsid w:val="00190947"/>
    <w:rsid w:val="00191D03"/>
    <w:rsid w:val="00197F1A"/>
    <w:rsid w:val="001A06DE"/>
    <w:rsid w:val="001A4118"/>
    <w:rsid w:val="001A7575"/>
    <w:rsid w:val="002317AC"/>
    <w:rsid w:val="002457AA"/>
    <w:rsid w:val="00251412"/>
    <w:rsid w:val="002566BC"/>
    <w:rsid w:val="0027528E"/>
    <w:rsid w:val="00283852"/>
    <w:rsid w:val="00295692"/>
    <w:rsid w:val="002B58E7"/>
    <w:rsid w:val="002C3C62"/>
    <w:rsid w:val="002C5FE3"/>
    <w:rsid w:val="002D3B7B"/>
    <w:rsid w:val="002E2E5B"/>
    <w:rsid w:val="00312691"/>
    <w:rsid w:val="00316ECD"/>
    <w:rsid w:val="00321FA4"/>
    <w:rsid w:val="00325808"/>
    <w:rsid w:val="00331E94"/>
    <w:rsid w:val="00332B19"/>
    <w:rsid w:val="003468C7"/>
    <w:rsid w:val="003530AF"/>
    <w:rsid w:val="00354A68"/>
    <w:rsid w:val="0035738B"/>
    <w:rsid w:val="0036155F"/>
    <w:rsid w:val="003657CF"/>
    <w:rsid w:val="00390E21"/>
    <w:rsid w:val="003A26AA"/>
    <w:rsid w:val="003F6698"/>
    <w:rsid w:val="00400BB5"/>
    <w:rsid w:val="004024E5"/>
    <w:rsid w:val="00402786"/>
    <w:rsid w:val="004200D5"/>
    <w:rsid w:val="0044018A"/>
    <w:rsid w:val="00440FA3"/>
    <w:rsid w:val="0044110D"/>
    <w:rsid w:val="004554AB"/>
    <w:rsid w:val="004833C5"/>
    <w:rsid w:val="00491BA7"/>
    <w:rsid w:val="004A271E"/>
    <w:rsid w:val="004B54A3"/>
    <w:rsid w:val="004B66B0"/>
    <w:rsid w:val="004D1857"/>
    <w:rsid w:val="004D5B77"/>
    <w:rsid w:val="004D639A"/>
    <w:rsid w:val="004E0D8E"/>
    <w:rsid w:val="004E6E25"/>
    <w:rsid w:val="004F135C"/>
    <w:rsid w:val="004F4CC7"/>
    <w:rsid w:val="004F6F40"/>
    <w:rsid w:val="00504000"/>
    <w:rsid w:val="00533E8F"/>
    <w:rsid w:val="00547829"/>
    <w:rsid w:val="00550862"/>
    <w:rsid w:val="00553A45"/>
    <w:rsid w:val="00553A63"/>
    <w:rsid w:val="00584373"/>
    <w:rsid w:val="00597482"/>
    <w:rsid w:val="005A3CD0"/>
    <w:rsid w:val="005B1557"/>
    <w:rsid w:val="005B515E"/>
    <w:rsid w:val="005C6B51"/>
    <w:rsid w:val="005D3FF6"/>
    <w:rsid w:val="005F0BC4"/>
    <w:rsid w:val="00600E0F"/>
    <w:rsid w:val="006100CC"/>
    <w:rsid w:val="006171B5"/>
    <w:rsid w:val="006227D2"/>
    <w:rsid w:val="006232F8"/>
    <w:rsid w:val="00636D5E"/>
    <w:rsid w:val="0064353D"/>
    <w:rsid w:val="00672CCD"/>
    <w:rsid w:val="00691D51"/>
    <w:rsid w:val="006932FE"/>
    <w:rsid w:val="006A4293"/>
    <w:rsid w:val="006A682A"/>
    <w:rsid w:val="006A78F9"/>
    <w:rsid w:val="006B3677"/>
    <w:rsid w:val="006C086C"/>
    <w:rsid w:val="006C2296"/>
    <w:rsid w:val="006C28DC"/>
    <w:rsid w:val="006F0DF6"/>
    <w:rsid w:val="006F1D4B"/>
    <w:rsid w:val="006F6113"/>
    <w:rsid w:val="00712407"/>
    <w:rsid w:val="007303A7"/>
    <w:rsid w:val="00747E5D"/>
    <w:rsid w:val="0076081A"/>
    <w:rsid w:val="00765CF6"/>
    <w:rsid w:val="00784978"/>
    <w:rsid w:val="007A5CE1"/>
    <w:rsid w:val="007B5C1C"/>
    <w:rsid w:val="007D6A0E"/>
    <w:rsid w:val="007E7E51"/>
    <w:rsid w:val="00810FDC"/>
    <w:rsid w:val="0082299A"/>
    <w:rsid w:val="00844163"/>
    <w:rsid w:val="00852C93"/>
    <w:rsid w:val="00856E53"/>
    <w:rsid w:val="00857203"/>
    <w:rsid w:val="00863124"/>
    <w:rsid w:val="00865DB8"/>
    <w:rsid w:val="00866DB9"/>
    <w:rsid w:val="008736F1"/>
    <w:rsid w:val="00896313"/>
    <w:rsid w:val="008C0355"/>
    <w:rsid w:val="008C51C1"/>
    <w:rsid w:val="008C58A8"/>
    <w:rsid w:val="008C6CCA"/>
    <w:rsid w:val="008D219B"/>
    <w:rsid w:val="008E2C2F"/>
    <w:rsid w:val="008E2EE3"/>
    <w:rsid w:val="00905487"/>
    <w:rsid w:val="0091107A"/>
    <w:rsid w:val="00911BAA"/>
    <w:rsid w:val="009243C3"/>
    <w:rsid w:val="009463F2"/>
    <w:rsid w:val="009552B3"/>
    <w:rsid w:val="009661BB"/>
    <w:rsid w:val="00977D5A"/>
    <w:rsid w:val="00985012"/>
    <w:rsid w:val="009A5166"/>
    <w:rsid w:val="009C7AD9"/>
    <w:rsid w:val="009F7C3C"/>
    <w:rsid w:val="00A15EAF"/>
    <w:rsid w:val="00A206BD"/>
    <w:rsid w:val="00A25173"/>
    <w:rsid w:val="00A27107"/>
    <w:rsid w:val="00A32B8F"/>
    <w:rsid w:val="00A77349"/>
    <w:rsid w:val="00A85ED8"/>
    <w:rsid w:val="00A93CD3"/>
    <w:rsid w:val="00AA2231"/>
    <w:rsid w:val="00AC1166"/>
    <w:rsid w:val="00AC223E"/>
    <w:rsid w:val="00AC49FD"/>
    <w:rsid w:val="00AD0E43"/>
    <w:rsid w:val="00AD5AD6"/>
    <w:rsid w:val="00AE185F"/>
    <w:rsid w:val="00AF0855"/>
    <w:rsid w:val="00AF7A4F"/>
    <w:rsid w:val="00B011D2"/>
    <w:rsid w:val="00B13075"/>
    <w:rsid w:val="00B24D18"/>
    <w:rsid w:val="00B26D9F"/>
    <w:rsid w:val="00B40419"/>
    <w:rsid w:val="00B42959"/>
    <w:rsid w:val="00B44DAF"/>
    <w:rsid w:val="00B629DF"/>
    <w:rsid w:val="00B71F3F"/>
    <w:rsid w:val="00B817DD"/>
    <w:rsid w:val="00BA71FD"/>
    <w:rsid w:val="00BB0482"/>
    <w:rsid w:val="00BC0BCE"/>
    <w:rsid w:val="00BC2962"/>
    <w:rsid w:val="00BC6063"/>
    <w:rsid w:val="00BF69C5"/>
    <w:rsid w:val="00C03345"/>
    <w:rsid w:val="00C12C6B"/>
    <w:rsid w:val="00C24091"/>
    <w:rsid w:val="00C42329"/>
    <w:rsid w:val="00C42B4D"/>
    <w:rsid w:val="00C466CF"/>
    <w:rsid w:val="00C63664"/>
    <w:rsid w:val="00C834CE"/>
    <w:rsid w:val="00C84809"/>
    <w:rsid w:val="00CA1266"/>
    <w:rsid w:val="00CA5B91"/>
    <w:rsid w:val="00CA5E97"/>
    <w:rsid w:val="00CB57C9"/>
    <w:rsid w:val="00CB5E2D"/>
    <w:rsid w:val="00CC220B"/>
    <w:rsid w:val="00CE1DCE"/>
    <w:rsid w:val="00D016E1"/>
    <w:rsid w:val="00D041FF"/>
    <w:rsid w:val="00D11334"/>
    <w:rsid w:val="00D22B4A"/>
    <w:rsid w:val="00D27F56"/>
    <w:rsid w:val="00D42405"/>
    <w:rsid w:val="00D440C8"/>
    <w:rsid w:val="00D52034"/>
    <w:rsid w:val="00D5331D"/>
    <w:rsid w:val="00D55D08"/>
    <w:rsid w:val="00D648FC"/>
    <w:rsid w:val="00D75D32"/>
    <w:rsid w:val="00D76190"/>
    <w:rsid w:val="00D83E14"/>
    <w:rsid w:val="00D90312"/>
    <w:rsid w:val="00DA0770"/>
    <w:rsid w:val="00DB21B2"/>
    <w:rsid w:val="00DB7525"/>
    <w:rsid w:val="00DD400C"/>
    <w:rsid w:val="00DD7614"/>
    <w:rsid w:val="00DF2E3D"/>
    <w:rsid w:val="00DF5EEB"/>
    <w:rsid w:val="00E0093E"/>
    <w:rsid w:val="00E2325B"/>
    <w:rsid w:val="00E26772"/>
    <w:rsid w:val="00E3315A"/>
    <w:rsid w:val="00E41653"/>
    <w:rsid w:val="00E4270D"/>
    <w:rsid w:val="00E6116A"/>
    <w:rsid w:val="00E61974"/>
    <w:rsid w:val="00E7761B"/>
    <w:rsid w:val="00E82F97"/>
    <w:rsid w:val="00EA5EB2"/>
    <w:rsid w:val="00EB68AB"/>
    <w:rsid w:val="00EB782A"/>
    <w:rsid w:val="00EC43FA"/>
    <w:rsid w:val="00EF5270"/>
    <w:rsid w:val="00F1090C"/>
    <w:rsid w:val="00F118BC"/>
    <w:rsid w:val="00F16FAC"/>
    <w:rsid w:val="00F23E58"/>
    <w:rsid w:val="00F4499A"/>
    <w:rsid w:val="00F62A89"/>
    <w:rsid w:val="00F62E80"/>
    <w:rsid w:val="00F671D2"/>
    <w:rsid w:val="00F75120"/>
    <w:rsid w:val="00F84A2E"/>
    <w:rsid w:val="00F86689"/>
    <w:rsid w:val="00FA20C5"/>
    <w:rsid w:val="00FA421A"/>
    <w:rsid w:val="00FB7B36"/>
    <w:rsid w:val="00FD519D"/>
    <w:rsid w:val="00FD60D0"/>
    <w:rsid w:val="00FF3EEF"/>
    <w:rsid w:val="01EE328F"/>
    <w:rsid w:val="02B4275D"/>
    <w:rsid w:val="02EA19D9"/>
    <w:rsid w:val="036510E6"/>
    <w:rsid w:val="06202433"/>
    <w:rsid w:val="062231F7"/>
    <w:rsid w:val="06532265"/>
    <w:rsid w:val="066650B1"/>
    <w:rsid w:val="08A50FBF"/>
    <w:rsid w:val="09951F92"/>
    <w:rsid w:val="09B53848"/>
    <w:rsid w:val="0A404712"/>
    <w:rsid w:val="0D4B23AE"/>
    <w:rsid w:val="0E942120"/>
    <w:rsid w:val="10337BD6"/>
    <w:rsid w:val="10686877"/>
    <w:rsid w:val="111C20AB"/>
    <w:rsid w:val="14DB2D23"/>
    <w:rsid w:val="16FE4E57"/>
    <w:rsid w:val="179971D6"/>
    <w:rsid w:val="195840B2"/>
    <w:rsid w:val="1ACF3D3D"/>
    <w:rsid w:val="1AE74CEE"/>
    <w:rsid w:val="1B576D40"/>
    <w:rsid w:val="1BB9299D"/>
    <w:rsid w:val="1E007B26"/>
    <w:rsid w:val="1F0934DD"/>
    <w:rsid w:val="1F6E2204"/>
    <w:rsid w:val="203074AA"/>
    <w:rsid w:val="20367E0F"/>
    <w:rsid w:val="216E586A"/>
    <w:rsid w:val="225F1C26"/>
    <w:rsid w:val="25810228"/>
    <w:rsid w:val="259318CB"/>
    <w:rsid w:val="264B32E5"/>
    <w:rsid w:val="28A60592"/>
    <w:rsid w:val="2A2E222A"/>
    <w:rsid w:val="2A386057"/>
    <w:rsid w:val="2D8C263A"/>
    <w:rsid w:val="2FBC5EE8"/>
    <w:rsid w:val="30CC3104"/>
    <w:rsid w:val="30E60A14"/>
    <w:rsid w:val="31146B83"/>
    <w:rsid w:val="313A7DC0"/>
    <w:rsid w:val="31675B85"/>
    <w:rsid w:val="31957481"/>
    <w:rsid w:val="32CB71B7"/>
    <w:rsid w:val="3363759E"/>
    <w:rsid w:val="342C1E89"/>
    <w:rsid w:val="34BB36CA"/>
    <w:rsid w:val="365E664E"/>
    <w:rsid w:val="37AC006A"/>
    <w:rsid w:val="391541F3"/>
    <w:rsid w:val="39AB6BB0"/>
    <w:rsid w:val="3B1B7724"/>
    <w:rsid w:val="3DC23245"/>
    <w:rsid w:val="4013488B"/>
    <w:rsid w:val="40BE669E"/>
    <w:rsid w:val="41CA0C84"/>
    <w:rsid w:val="41DA6717"/>
    <w:rsid w:val="426D4463"/>
    <w:rsid w:val="4386457B"/>
    <w:rsid w:val="46B21629"/>
    <w:rsid w:val="47874BB8"/>
    <w:rsid w:val="499D2B74"/>
    <w:rsid w:val="4A381DCE"/>
    <w:rsid w:val="4AAE5120"/>
    <w:rsid w:val="4B3E0B8E"/>
    <w:rsid w:val="4C067AF2"/>
    <w:rsid w:val="4C3F7DB4"/>
    <w:rsid w:val="4C472BAA"/>
    <w:rsid w:val="4CC767E7"/>
    <w:rsid w:val="4CCF5D0A"/>
    <w:rsid w:val="4D621143"/>
    <w:rsid w:val="4D96511C"/>
    <w:rsid w:val="4F1412FC"/>
    <w:rsid w:val="534651D8"/>
    <w:rsid w:val="53521EEC"/>
    <w:rsid w:val="53A41255"/>
    <w:rsid w:val="59E932B8"/>
    <w:rsid w:val="5A69721B"/>
    <w:rsid w:val="5C712E4E"/>
    <w:rsid w:val="5C946F54"/>
    <w:rsid w:val="5D6C08EE"/>
    <w:rsid w:val="5DA4033F"/>
    <w:rsid w:val="5DBD4FF9"/>
    <w:rsid w:val="5E2A78DC"/>
    <w:rsid w:val="5EB13F71"/>
    <w:rsid w:val="5FD57160"/>
    <w:rsid w:val="61753000"/>
    <w:rsid w:val="6495438E"/>
    <w:rsid w:val="652F438E"/>
    <w:rsid w:val="68061680"/>
    <w:rsid w:val="6B2430E5"/>
    <w:rsid w:val="6DB768EB"/>
    <w:rsid w:val="6F531C03"/>
    <w:rsid w:val="731A470A"/>
    <w:rsid w:val="7A187687"/>
    <w:rsid w:val="7A661BA9"/>
    <w:rsid w:val="7C452061"/>
    <w:rsid w:val="7C712DD6"/>
    <w:rsid w:val="7CF8165F"/>
    <w:rsid w:val="7F4A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3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4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4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jc w:val="left"/>
    </w:pPr>
    <w:rPr>
      <w:kern w:val="0"/>
      <w:sz w:val="24"/>
    </w:rPr>
  </w:style>
  <w:style w:type="character" w:styleId="8">
    <w:name w:val="FollowedHyperlink"/>
    <w:unhideWhenUsed/>
    <w:qFormat/>
    <w:uiPriority w:val="99"/>
    <w:rPr>
      <w:color w:val="595959"/>
      <w:u w:val="none"/>
    </w:rPr>
  </w:style>
  <w:style w:type="character" w:styleId="9">
    <w:name w:val="Emphasis"/>
    <w:qFormat/>
    <w:uiPriority w:val="20"/>
  </w:style>
  <w:style w:type="character" w:styleId="10">
    <w:name w:val="HTML Definition"/>
    <w:unhideWhenUsed/>
    <w:qFormat/>
    <w:uiPriority w:val="99"/>
  </w:style>
  <w:style w:type="character" w:styleId="11">
    <w:name w:val="HTML Variable"/>
    <w:unhideWhenUsed/>
    <w:qFormat/>
    <w:uiPriority w:val="99"/>
  </w:style>
  <w:style w:type="character" w:styleId="12">
    <w:name w:val="Hyperlink"/>
    <w:unhideWhenUsed/>
    <w:qFormat/>
    <w:uiPriority w:val="99"/>
    <w:rPr>
      <w:color w:val="595959"/>
      <w:u w:val="none"/>
    </w:rPr>
  </w:style>
  <w:style w:type="character" w:styleId="13">
    <w:name w:val="HTML Code"/>
    <w:unhideWhenUsed/>
    <w:qFormat/>
    <w:uiPriority w:val="99"/>
    <w:rPr>
      <w:rFonts w:ascii="Courier New" w:hAnsi="Courier New"/>
      <w:sz w:val="20"/>
    </w:rPr>
  </w:style>
  <w:style w:type="character" w:styleId="14">
    <w:name w:val="HTML Cite"/>
    <w:unhideWhenUsed/>
    <w:qFormat/>
    <w:uiPriority w:val="99"/>
  </w:style>
  <w:style w:type="character" w:customStyle="1" w:styleId="16">
    <w:name w:val="time"/>
    <w:qFormat/>
    <w:uiPriority w:val="0"/>
    <w:rPr>
      <w:sz w:val="18"/>
      <w:szCs w:val="18"/>
    </w:rPr>
  </w:style>
  <w:style w:type="character" w:customStyle="1" w:styleId="17">
    <w:name w:val="bg14"/>
    <w:qFormat/>
    <w:uiPriority w:val="0"/>
    <w:rPr>
      <w:shd w:val="clear" w:color="auto" w:fill="FFFFFF"/>
    </w:rPr>
  </w:style>
  <w:style w:type="character" w:customStyle="1" w:styleId="18">
    <w:name w:val="sel"/>
    <w:qFormat/>
    <w:uiPriority w:val="0"/>
    <w:rPr>
      <w:color w:val="2181E1"/>
    </w:rPr>
  </w:style>
  <w:style w:type="character" w:customStyle="1" w:styleId="19">
    <w:name w:val="name2"/>
    <w:qFormat/>
    <w:uiPriority w:val="0"/>
    <w:rPr>
      <w:b/>
      <w:color w:val="2276BE"/>
      <w:sz w:val="30"/>
      <w:szCs w:val="30"/>
    </w:rPr>
  </w:style>
  <w:style w:type="character" w:customStyle="1" w:styleId="20">
    <w:name w:val="name"/>
    <w:qFormat/>
    <w:uiPriority w:val="0"/>
    <w:rPr>
      <w:b/>
      <w:color w:val="2276BE"/>
      <w:sz w:val="30"/>
      <w:szCs w:val="30"/>
    </w:rPr>
  </w:style>
  <w:style w:type="character" w:customStyle="1" w:styleId="21">
    <w:name w:val="bg1"/>
    <w:qFormat/>
    <w:uiPriority w:val="0"/>
    <w:rPr>
      <w:shd w:val="clear" w:color="auto" w:fill="FFFFFF"/>
    </w:rPr>
  </w:style>
  <w:style w:type="character" w:customStyle="1" w:styleId="22">
    <w:name w:val="页眉 字符"/>
    <w:link w:val="5"/>
    <w:qFormat/>
    <w:uiPriority w:val="99"/>
    <w:rPr>
      <w:rFonts w:ascii="等线" w:hAnsi="等线" w:eastAsia="等线"/>
      <w:kern w:val="2"/>
      <w:sz w:val="18"/>
      <w:szCs w:val="18"/>
    </w:rPr>
  </w:style>
  <w:style w:type="character" w:customStyle="1" w:styleId="23">
    <w:name w:val="more"/>
    <w:qFormat/>
    <w:uiPriority w:val="0"/>
    <w:rPr>
      <w:color w:val="FFFFFF"/>
      <w:sz w:val="18"/>
      <w:szCs w:val="18"/>
      <w:shd w:val="clear" w:color="auto" w:fill="60AFE7"/>
    </w:rPr>
  </w:style>
  <w:style w:type="character" w:customStyle="1" w:styleId="24">
    <w:name w:val="more6"/>
    <w:qFormat/>
    <w:uiPriority w:val="0"/>
    <w:rPr>
      <w:color w:val="FFFFFF"/>
      <w:sz w:val="18"/>
      <w:szCs w:val="18"/>
      <w:shd w:val="clear" w:color="auto" w:fill="60AFE7"/>
    </w:rPr>
  </w:style>
  <w:style w:type="character" w:customStyle="1" w:styleId="25">
    <w:name w:val="bg3"/>
    <w:qFormat/>
    <w:uiPriority w:val="0"/>
    <w:rPr>
      <w:shd w:val="clear" w:color="auto" w:fill="FFFFFF"/>
    </w:rPr>
  </w:style>
  <w:style w:type="character" w:customStyle="1" w:styleId="26">
    <w:name w:val="on"/>
    <w:qFormat/>
    <w:uiPriority w:val="0"/>
    <w:rPr>
      <w:color w:val="FFFFFF"/>
      <w:shd w:val="clear" w:color="auto" w:fill="55A7F8"/>
    </w:rPr>
  </w:style>
  <w:style w:type="character" w:customStyle="1" w:styleId="27">
    <w:name w:val="time5"/>
    <w:qFormat/>
    <w:uiPriority w:val="0"/>
    <w:rPr>
      <w:sz w:val="18"/>
      <w:szCs w:val="18"/>
    </w:rPr>
  </w:style>
  <w:style w:type="character" w:customStyle="1" w:styleId="28">
    <w:name w:val="bg13"/>
    <w:qFormat/>
    <w:uiPriority w:val="0"/>
    <w:rPr>
      <w:shd w:val="clear" w:color="auto" w:fill="FFFFFF"/>
    </w:rPr>
  </w:style>
  <w:style w:type="character" w:customStyle="1" w:styleId="29">
    <w:name w:val="sel1"/>
    <w:basedOn w:val="7"/>
    <w:qFormat/>
    <w:uiPriority w:val="0"/>
  </w:style>
  <w:style w:type="character" w:customStyle="1" w:styleId="30">
    <w:name w:val="on2"/>
    <w:qFormat/>
    <w:uiPriority w:val="0"/>
    <w:rPr>
      <w:color w:val="FFFFFF"/>
      <w:shd w:val="clear" w:color="auto" w:fill="55A7F8"/>
    </w:rPr>
  </w:style>
  <w:style w:type="character" w:customStyle="1" w:styleId="31">
    <w:name w:val="xq"/>
    <w:qFormat/>
    <w:uiPriority w:val="0"/>
    <w:rPr>
      <w:color w:val="FFFFFF"/>
      <w:sz w:val="18"/>
      <w:szCs w:val="18"/>
      <w:shd w:val="clear" w:color="auto" w:fill="60AFE7"/>
    </w:rPr>
  </w:style>
  <w:style w:type="character" w:customStyle="1" w:styleId="32">
    <w:name w:val="bg12"/>
    <w:qFormat/>
    <w:uiPriority w:val="0"/>
    <w:rPr>
      <w:color w:val="FFFFFF"/>
    </w:rPr>
  </w:style>
  <w:style w:type="character" w:customStyle="1" w:styleId="33">
    <w:name w:val="日期 字符"/>
    <w:link w:val="2"/>
    <w:semiHidden/>
    <w:qFormat/>
    <w:uiPriority w:val="99"/>
    <w:rPr>
      <w:rFonts w:ascii="等线" w:hAnsi="等线" w:eastAsia="等线"/>
      <w:kern w:val="2"/>
      <w:sz w:val="21"/>
      <w:szCs w:val="22"/>
    </w:rPr>
  </w:style>
  <w:style w:type="character" w:customStyle="1" w:styleId="34">
    <w:name w:val="name6"/>
    <w:qFormat/>
    <w:uiPriority w:val="0"/>
    <w:rPr>
      <w:b/>
      <w:color w:val="2276BE"/>
      <w:sz w:val="30"/>
      <w:szCs w:val="30"/>
    </w:rPr>
  </w:style>
  <w:style w:type="character" w:customStyle="1" w:styleId="35">
    <w:name w:val="name1"/>
    <w:qFormat/>
    <w:uiPriority w:val="0"/>
    <w:rPr>
      <w:b/>
      <w:color w:val="2276BE"/>
      <w:sz w:val="30"/>
      <w:szCs w:val="30"/>
    </w:rPr>
  </w:style>
  <w:style w:type="character" w:customStyle="1" w:styleId="36">
    <w:name w:val="bg2"/>
    <w:qFormat/>
    <w:uiPriority w:val="0"/>
    <w:rPr>
      <w:shd w:val="clear" w:color="auto" w:fill="FFFFFF"/>
    </w:rPr>
  </w:style>
  <w:style w:type="character" w:customStyle="1" w:styleId="37">
    <w:name w:val="bg"/>
    <w:qFormat/>
    <w:uiPriority w:val="0"/>
    <w:rPr>
      <w:color w:val="FFFFFF"/>
    </w:rPr>
  </w:style>
  <w:style w:type="character" w:customStyle="1" w:styleId="38">
    <w:name w:val="name4"/>
    <w:qFormat/>
    <w:uiPriority w:val="0"/>
    <w:rPr>
      <w:b/>
      <w:color w:val="2276BE"/>
      <w:sz w:val="30"/>
      <w:szCs w:val="30"/>
    </w:rPr>
  </w:style>
  <w:style w:type="character" w:customStyle="1" w:styleId="39">
    <w:name w:val="time4"/>
    <w:qFormat/>
    <w:uiPriority w:val="0"/>
    <w:rPr>
      <w:sz w:val="18"/>
      <w:szCs w:val="18"/>
    </w:rPr>
  </w:style>
  <w:style w:type="character" w:customStyle="1" w:styleId="40">
    <w:name w:val="页脚 字符"/>
    <w:link w:val="4"/>
    <w:qFormat/>
    <w:uiPriority w:val="99"/>
    <w:rPr>
      <w:rFonts w:ascii="等线" w:hAnsi="等线" w:eastAsia="等线"/>
      <w:kern w:val="2"/>
      <w:sz w:val="18"/>
      <w:szCs w:val="18"/>
    </w:rPr>
  </w:style>
  <w:style w:type="character" w:customStyle="1" w:styleId="41">
    <w:name w:val="批注框文本 字符"/>
    <w:link w:val="3"/>
    <w:semiHidden/>
    <w:qFormat/>
    <w:uiPriority w:val="99"/>
    <w:rPr>
      <w:rFonts w:ascii="等线" w:hAnsi="等线" w:eastAsia="等线"/>
      <w:kern w:val="2"/>
      <w:sz w:val="18"/>
      <w:szCs w:val="18"/>
    </w:rPr>
  </w:style>
  <w:style w:type="character" w:customStyle="1" w:styleId="42">
    <w:name w:val="time1"/>
    <w:qFormat/>
    <w:uiPriority w:val="0"/>
    <w:rPr>
      <w:sz w:val="18"/>
      <w:szCs w:val="18"/>
    </w:rPr>
  </w:style>
  <w:style w:type="character" w:customStyle="1" w:styleId="43">
    <w:name w:val="name5"/>
    <w:qFormat/>
    <w:uiPriority w:val="0"/>
    <w:rPr>
      <w:b/>
      <w:color w:val="2276BE"/>
      <w:sz w:val="30"/>
      <w:szCs w:val="30"/>
    </w:rPr>
  </w:style>
  <w:style w:type="paragraph" w:customStyle="1" w:styleId="44">
    <w:name w:val="修订1"/>
    <w:hidden/>
    <w:unhideWhenUsed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D5964E-3591-48DE-A7CC-3BC263A858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635</Words>
  <Characters>3624</Characters>
  <Lines>30</Lines>
  <Paragraphs>8</Paragraphs>
  <TotalTime>11</TotalTime>
  <ScaleCrop>false</ScaleCrop>
  <LinksUpToDate>false</LinksUpToDate>
  <CharactersWithSpaces>4251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2019-10-15T01:48:00Z</dcterms:created>
  <dc:creator>谢义琴</dc:creator>
  <cp:lastModifiedBy>兼言小子</cp:lastModifiedBy>
  <cp:lastPrinted>2019-10-10T06:42:00Z</cp:lastPrinted>
  <dcterms:modified xsi:type="dcterms:W3CDTF">2019-10-24T08:22:13Z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