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sz w:val="44"/>
          <w:szCs w:val="32"/>
        </w:rPr>
        <w:t>2021年2月全省市级城市地表水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sz w:val="44"/>
          <w:szCs w:val="32"/>
        </w:rPr>
        <w:t>环境质量状况排名前后3位名单</w:t>
      </w:r>
    </w:p>
    <w:p>
      <w:pPr>
        <w:overflowPunct w:val="0"/>
        <w:topLinePunct/>
        <w:adjustRightInd w:val="0"/>
        <w:snapToGrid w:val="0"/>
        <w:spacing w:line="600" w:lineRule="exact"/>
        <w:ind w:firstLine="1187" w:firstLineChars="371"/>
        <w:jc w:val="center"/>
        <w:rPr>
          <w:rFonts w:ascii="Times New Roman" w:hAnsi="Times New Roman" w:eastAsia="方正大标宋简体" w:cs="方正大标宋简体"/>
          <w:sz w:val="32"/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4"/>
        <w:gridCol w:w="1643"/>
        <w:gridCol w:w="1643"/>
        <w:gridCol w:w="1643"/>
        <w:gridCol w:w="1643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</w:rPr>
              <w:t>排名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</w:rPr>
              <w:t>市（州）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</w:rPr>
              <w:t>本月指数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</w:rPr>
              <w:t>排名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</w:rPr>
              <w:t>市（州）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</w:rPr>
              <w:t>本月指数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>1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>甘孜州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 xml:space="preserve">2.6506 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>倒数第1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>资阳市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 xml:space="preserve">5.3342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>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>攀枝花市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 xml:space="preserve">2.8055 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>倒数第2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>自贡市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 xml:space="preserve">5.2726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>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>雅安市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 xml:space="preserve">2.8559 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>倒数第3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>内江市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kern w:val="0"/>
                <w:sz w:val="28"/>
              </w:rPr>
              <w:t xml:space="preserve">4.9613 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ascii="Times New Roman" w:hAnsi="Times New Roman" w:eastAsia="方正小标宋简体" w:cs="方正大标宋简体"/>
          <w:sz w:val="44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黑体"/>
          <w:sz w:val="32"/>
          <w:szCs w:val="32"/>
        </w:rPr>
        <w:t>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sz w:val="44"/>
          <w:szCs w:val="32"/>
        </w:rPr>
        <w:t>2021年2月全省县级城市地表水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sz w:val="44"/>
          <w:szCs w:val="32"/>
        </w:rPr>
        <w:t>环境质量状况排名前后10位名单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6"/>
        <w:gridCol w:w="1176"/>
        <w:gridCol w:w="1344"/>
        <w:gridCol w:w="813"/>
        <w:gridCol w:w="1437"/>
        <w:gridCol w:w="1050"/>
        <w:gridCol w:w="1316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水质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指数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水质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甘孜州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泸定县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 xml:space="preserve">2.3082 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倒数第1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南充市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西充县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9.4178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甘孜州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新龙县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 xml:space="preserve">2.3211 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倒数第2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沿滩区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7.6841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甘孜州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理塘县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 xml:space="preserve">2.3251 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倒数第3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井研县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7.3158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雅安市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雨城区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 xml:space="preserve">2.3634 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倒数第4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内江市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隆昌市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6.8164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阿坝州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金川县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 xml:space="preserve">2.3866 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倒数第5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贡井区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6.7144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泸州市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叙永县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 xml:space="preserve">2.4045 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倒数第6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广安市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岳池县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6.6810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甘孜州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稻城县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 xml:space="preserve">2.4222 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倒数第7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南充市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仪陇县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6.2959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凉山州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木里县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 xml:space="preserve">2.4290 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倒数第8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邛崃市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6.0736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南充市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高坪区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 xml:space="preserve">2.4424 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倒数第9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资阳市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安岳县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5.8612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凉山州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甘洛县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 xml:space="preserve">2.4668 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</w:rPr>
              <w:t>倒数第10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梓潼县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黑体"/>
                <w:bCs/>
                <w:kern w:val="0"/>
                <w:sz w:val="24"/>
                <w:szCs w:val="24"/>
                <w:lang w:bidi="ar"/>
              </w:rPr>
              <w:t>5.8240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hAnsi="Times New Roman" w:eastAsia="方正大标宋简体" w:cs="方正大标宋简体"/>
          <w:sz w:val="32"/>
          <w:szCs w:val="32"/>
        </w:rPr>
      </w:pPr>
      <w:r>
        <w:rPr>
          <w:rFonts w:hint="eastAsia" w:ascii="Times New Roman" w:hAnsi="Times New Roman" w:eastAsia="方正大标宋简体" w:cs="方正大标宋简体"/>
          <w:sz w:val="32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黑体"/>
          <w:sz w:val="32"/>
          <w:szCs w:val="32"/>
        </w:rPr>
        <w:t>3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sz w:val="44"/>
          <w:szCs w:val="32"/>
        </w:rPr>
        <w:t>2021年2月和1-2月15个重点城市环境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71"/>
        <w:gridCol w:w="1778"/>
        <w:gridCol w:w="1477"/>
        <w:gridCol w:w="1093"/>
        <w:gridCol w:w="1860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8"/>
                <w:szCs w:val="28"/>
              </w:rPr>
              <w:t>2021年2月排名情况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2" w:hRule="atLeast"/>
          <w:jc w:val="center"/>
        </w:trPr>
        <w:tc>
          <w:tcPr>
            <w:tcW w:w="2487" w:type="pct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综合指数</w:t>
            </w:r>
          </w:p>
        </w:tc>
        <w:tc>
          <w:tcPr>
            <w:tcW w:w="2512" w:type="pct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市（州）</w:t>
            </w:r>
          </w:p>
        </w:tc>
        <w:tc>
          <w:tcPr>
            <w:tcW w:w="828" w:type="pc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综合指数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市（州）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8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3.42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8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4.20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8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4.46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8" w:hRule="atLeast"/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倒数第1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8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5.69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倒数第1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倒数第2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8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5.61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倒数第2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倒数第3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8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5.54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倒数第2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8"/>
                <w:szCs w:val="28"/>
              </w:rPr>
              <w:t>2021年1-2月排名情况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87" w:type="pct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综合指数</w:t>
            </w:r>
          </w:p>
        </w:tc>
        <w:tc>
          <w:tcPr>
            <w:tcW w:w="2512" w:type="pct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市（州）</w:t>
            </w:r>
          </w:p>
        </w:tc>
        <w:tc>
          <w:tcPr>
            <w:tcW w:w="828" w:type="pc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综合指数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市（州）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8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4.01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8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4.65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8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4.93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自贡市、德阳市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倒数第1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8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5.86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倒数第1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倒数第2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8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5.71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倒数第2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倒数第3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8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5.69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倒数第3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24.4%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rFonts w:ascii="Times New Roman" w:hAnsi="Times New Roman" w:eastAsia="仿宋_GB2312"/>
          <w:kern w:val="0"/>
          <w:sz w:val="28"/>
        </w:rPr>
      </w:pPr>
      <w:r>
        <w:rPr>
          <w:rFonts w:hint="eastAsia" w:ascii="Times New Roman" w:hAnsi="Times New Roman" w:eastAsia="仿宋_GB2312"/>
          <w:kern w:val="0"/>
          <w:sz w:val="28"/>
        </w:rPr>
        <w:t>注：变化率正为恶化、负为改善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方正小标宋简体" w:cs="方正大标宋简体"/>
          <w:sz w:val="44"/>
          <w:szCs w:val="32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sz w:val="44"/>
          <w:szCs w:val="32"/>
        </w:rPr>
        <w:t>2021年2月和1-2月6个非重点城市综合指数及变化情况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252"/>
        <w:gridCol w:w="1294"/>
        <w:gridCol w:w="1149"/>
        <w:gridCol w:w="710"/>
        <w:gridCol w:w="1573"/>
        <w:gridCol w:w="1177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458" w:type="pct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  <w:szCs w:val="24"/>
              </w:rPr>
              <w:t>2月综合指数及变化情况</w:t>
            </w:r>
          </w:p>
        </w:tc>
        <w:tc>
          <w:tcPr>
            <w:tcW w:w="2541" w:type="pct"/>
            <w:gridSpan w:val="4"/>
            <w:tcBorders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  <w:szCs w:val="24"/>
              </w:rPr>
              <w:t>1-2月综合指数及变化情况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41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序号</w:t>
            </w:r>
          </w:p>
        </w:tc>
        <w:tc>
          <w:tcPr>
            <w:tcW w:w="6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市（州）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综合指数</w:t>
            </w:r>
          </w:p>
        </w:tc>
        <w:tc>
          <w:tcPr>
            <w:tcW w:w="6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变化率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序号</w:t>
            </w:r>
          </w:p>
        </w:tc>
        <w:tc>
          <w:tcPr>
            <w:tcW w:w="8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市（州）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综合指数</w:t>
            </w:r>
          </w:p>
        </w:tc>
        <w:tc>
          <w:tcPr>
            <w:tcW w:w="630" w:type="pct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19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甘孜州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1.55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11.5%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甘孜州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1.76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19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阿坝州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1.93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12.2%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阿坝州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2.28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419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凉山州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2.67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15.1%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凉山州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3.16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19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广元市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3.64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-4.0%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广元市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4.29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8.9%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19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巴中市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3.70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4.8%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巴中市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4.37</w:t>
            </w:r>
          </w:p>
        </w:tc>
        <w:tc>
          <w:tcPr>
            <w:tcW w:w="630" w:type="pct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19" w:type="pct"/>
            <w:tcBorders>
              <w:top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攀枝花市</w:t>
            </w:r>
          </w:p>
        </w:tc>
        <w:tc>
          <w:tcPr>
            <w:tcW w:w="714" w:type="pc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4.60</w:t>
            </w:r>
          </w:p>
        </w:tc>
        <w:tc>
          <w:tcPr>
            <w:tcW w:w="633" w:type="pc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12.2%</w:t>
            </w:r>
          </w:p>
        </w:tc>
        <w:tc>
          <w:tcPr>
            <w:tcW w:w="392" w:type="pc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868" w:type="pc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攀枝花市</w:t>
            </w:r>
          </w:p>
        </w:tc>
        <w:tc>
          <w:tcPr>
            <w:tcW w:w="649" w:type="pc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5.32</w:t>
            </w:r>
          </w:p>
        </w:tc>
        <w:tc>
          <w:tcPr>
            <w:tcW w:w="630" w:type="pct"/>
            <w:tcBorders>
              <w:top w:val="nil"/>
              <w:left w:val="nil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20.4%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</w:p>
    <w:p>
      <w:pPr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ascii="Times New Roman" w:hAnsi="Times New Roman" w:eastAsia="方正小标宋简体" w:cs="方正大标宋简体"/>
          <w:sz w:val="44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黑体"/>
          <w:sz w:val="32"/>
          <w:szCs w:val="32"/>
        </w:rPr>
        <w:t>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sz w:val="44"/>
          <w:szCs w:val="32"/>
        </w:rPr>
        <w:t>2021年2月和1-2月71个重点县级城市环境空气质量状况及变化情况排名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1"/>
        <w:gridCol w:w="1980"/>
        <w:gridCol w:w="1173"/>
        <w:gridCol w:w="1282"/>
        <w:gridCol w:w="2006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834" w:type="dxa"/>
            <w:gridSpan w:val="6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2021年2月排名情况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" w:hRule="atLeast"/>
          <w:jc w:val="center"/>
        </w:trPr>
        <w:tc>
          <w:tcPr>
            <w:tcW w:w="4404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综合指数</w:t>
            </w:r>
          </w:p>
        </w:tc>
        <w:tc>
          <w:tcPr>
            <w:tcW w:w="4430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综合指数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雅安市雨城区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3.22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屏山县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-3.7%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苍溪县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3.67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旺苍县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-3.5%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三台县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3.75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达州市通川区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-2.1%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旺苍县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3.85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大竹县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-0.2%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洪雅县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3.97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峨边彝族自治县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3.99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江油市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德阳市旌阳区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4.10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自贡市大安区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荣县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4.11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达州市达川区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丹棱县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4.12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苍溪县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" w:hRule="atLeast"/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江油市</w:t>
            </w:r>
          </w:p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马边彝族自治县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4.13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丹棱县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宜宾市翠屏区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6.04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倒数第1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成都市新津区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59.5%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泸县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5.82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倒数第2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泸州市纳溪区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5.75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倒数第3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成都市郫都区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38.5%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成都市新都区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5.67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倒数第4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仁寿县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自贡市贡井区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5.62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倒数第5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成都市新都区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35.0%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自贡市自流井区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5.55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倒数第6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泸州市江阳区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成都市新津区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5.47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倒数第7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成都市温江区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自贡市沿滩区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5.46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倒数第8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泸州市龙马潭区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5.45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倒数第9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宜宾市翠屏区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33.3%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泸州市江阳区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5.35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倒数第10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内江市东兴区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34" w:type="dxa"/>
            <w:gridSpan w:val="6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2021年1-2月排名情况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404" w:type="dxa"/>
            <w:gridSpan w:val="3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综合指数</w:t>
            </w:r>
          </w:p>
        </w:tc>
        <w:tc>
          <w:tcPr>
            <w:tcW w:w="4430" w:type="dxa"/>
            <w:gridSpan w:val="3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雅安市雨城区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3.83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屏山县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-4.9%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三台县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4.10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江油市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-0.4%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马边彝族自治县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4.12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自贡市大安区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洪雅县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4.19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眉山市彭山区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苍溪县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4.28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泸州市纳溪区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营山县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4.41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峨边彝族自治县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荣县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4.44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宜宾市叙州区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4.45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荣县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6" w:hRule="atLeast"/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眉山市彭山区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4.49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合江县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江油市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4.50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眉山市丹棱县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8.4%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成都市新都区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6.17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倒数第1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成都市新津区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51.9%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宜宾市翠屏区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6.14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倒数第2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珙县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成都市青羊区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5.97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倒数第3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泸县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5.87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倒数第4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成都市郫都区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成都市温江区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5.86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倒数第5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成都市成华区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5.82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倒数第6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岳池县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成都市郫都区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5.79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倒数第7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自贡市自流井区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5.76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倒数第8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成都市温江区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自贡市贡井区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5.75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倒数第9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成都市金牛区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达州市达川区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5.72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倒数第10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宜宾市翠屏区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27.4%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大标宋简体" w:cs="方正大标宋简体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</w:p>
    <w:p>
      <w:pPr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方正小标宋简体" w:cs="方正大标宋简体"/>
          <w:sz w:val="44"/>
          <w:szCs w:val="32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</w:rPr>
        <w:t>附件6</w:t>
      </w:r>
    </w:p>
    <w:p>
      <w:pPr>
        <w:adjustRightInd w:val="0"/>
        <w:snapToGrid w:val="0"/>
        <w:spacing w:line="300" w:lineRule="exact"/>
        <w:jc w:val="left"/>
        <w:rPr>
          <w:rFonts w:ascii="Times New Roman" w:hAnsi="Times New Roman" w:eastAsia="方正大标宋简体" w:cs="方正大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44"/>
        </w:rPr>
      </w:pPr>
      <w:r>
        <w:rPr>
          <w:rFonts w:hint="eastAsia" w:ascii="Times New Roman" w:hAnsi="Times New Roman" w:eastAsia="方正小标宋简体" w:cs="方正大标宋简体"/>
          <w:sz w:val="44"/>
          <w:szCs w:val="44"/>
        </w:rPr>
        <w:t>2021年2月和1-2月112个非重点县级级城市综合指数及变化情况</w:t>
      </w:r>
    </w:p>
    <w:p>
      <w:pPr>
        <w:spacing w:line="300" w:lineRule="exact"/>
        <w:ind w:firstLine="645"/>
        <w:rPr>
          <w:rFonts w:ascii="Times New Roman" w:hAnsi="Times New Roman" w:eastAsia="仿宋_GB2312"/>
          <w:color w:val="0000FF"/>
          <w:sz w:val="32"/>
          <w:szCs w:val="32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9"/>
        <w:gridCol w:w="1526"/>
        <w:gridCol w:w="1200"/>
        <w:gridCol w:w="973"/>
        <w:gridCol w:w="966"/>
        <w:gridCol w:w="1526"/>
        <w:gridCol w:w="1016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2506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2月</w:t>
            </w:r>
          </w:p>
        </w:tc>
        <w:tc>
          <w:tcPr>
            <w:tcW w:w="2493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1-2月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序号</w:t>
            </w:r>
          </w:p>
        </w:tc>
        <w:tc>
          <w:tcPr>
            <w:tcW w:w="85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县（市、区）</w:t>
            </w:r>
          </w:p>
        </w:tc>
        <w:tc>
          <w:tcPr>
            <w:tcW w:w="67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综合指数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变化率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序号</w:t>
            </w:r>
          </w:p>
        </w:tc>
        <w:tc>
          <w:tcPr>
            <w:tcW w:w="85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县（市、区）</w:t>
            </w:r>
          </w:p>
        </w:tc>
        <w:tc>
          <w:tcPr>
            <w:tcW w:w="57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综合指数</w:t>
            </w:r>
          </w:p>
        </w:tc>
        <w:tc>
          <w:tcPr>
            <w:tcW w:w="52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白玉县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1.22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-21.8%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乡城县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1.25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-27.7%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新龙县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1.28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-7.2%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新龙县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1.30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乡城县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1.30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-15.6%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石渠县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1.44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得荣县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1.30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-15.0%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白玉县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1.48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道孚县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1.33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-13.6%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道孚县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1.49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巴塘县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1.36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-9.9%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巴塘县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1.55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金川县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1.37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-13.8%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理塘县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1.57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18.0%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甘孜县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1.38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-8.0%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泸定县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1.59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25.2%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喜德县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1.41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-37.1%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雅江县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1.62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泸定县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1.44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8.3%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得荣县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1.64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炉霍县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1.45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-12.7%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小金县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1.65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木里县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1.45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15.1%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康定市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1.66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石渠县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1.46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9.8%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德格县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1.70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九龙县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1.48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31.0%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甘孜县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1.73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色达县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1.50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2.7%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炉霍县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1.74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丹巴县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1.51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41.1%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稻城县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1.77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理塘县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1.54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25.2%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金川县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1.77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康定市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1.55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9.2%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丹巴县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1.77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德格县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1.56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40.5%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九龙县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1.77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雅江县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1.58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29.5%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色达县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1.81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稻城县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1.59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14.4%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喜德县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1.82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-25.1%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小金县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1.65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木里县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1.91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九寨沟县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1.74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-6.5%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马尔康市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1.92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马尔康市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1.76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2.9%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理县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2.02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冕宁县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1.78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6.6%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布拖县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2.03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壤塘县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1.81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4.0%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若尔盖县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2.06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若尔盖县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1.84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-6.1%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黑水县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2.09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松潘县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1.88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17.5%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阿坝县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2.12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-29.6%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阿坝县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1.93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-33.4%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壤塘县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2.18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18.5%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盐源县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1.94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11.5%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九寨沟县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2.19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布拖县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1.97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-19.3%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松潘县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2.20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理县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1.99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6.4%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盐源县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2.25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25.0%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黑水县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2.10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-11.4%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昭觉县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2.41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美姑县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2.21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20.8%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越西县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2.47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会理市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2.26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-12.1%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石棉县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2.49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石棉县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2.27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美姑县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2.50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越西县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2.37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24.7%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冕宁县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2.55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昭觉县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2.38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33.7%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红原县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2.55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会东县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2.40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14.3%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金阳县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2.74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汶川县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2.45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-4.3%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宝兴县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2.75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宝兴县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2.52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31.9%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汶川县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2.76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朝天区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2.55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-5.6%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甘洛县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2.85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普格县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2.57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24.8%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汉源县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2.85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西昌市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2.59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10.2%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普格县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2.87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盐边县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2.62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-2.2%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会理市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2.90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青川县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2.72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12.4%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广元市朝天区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3.00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茂县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2.77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9.5%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会东县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3.01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38.1%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甘洛县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2.78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青川县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3.03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荥经县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2.81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20.6%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西昌市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3.07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平武县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2.84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12.3%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茂县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3.11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红原县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2.89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60.6%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荥经县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3.15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18.0%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金阳县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2.90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15.1%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雷波县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3.17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德昌县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2.91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21.8%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德昌县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3.24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天全县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2.92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9.8%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宁南县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3.32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汉源县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2.93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0.3%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沐川县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3.33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雷波县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3.00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11.1%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盐边县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3.34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宁南县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3.02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-3.2%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遂宁市安居区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3.36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平昌县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3.05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-11.3%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平武县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3.42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17.1%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芦山县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3.07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24.3%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盐亭县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3.47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盐亭县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3.16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6.4%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古蔺县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3.47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遂宁市安居区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3.24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3.5%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天全县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3.59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大英县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3.26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13.6%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大英县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3.65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梓潼县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3.29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8.6%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芦山县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3.70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广元市利州区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3.30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-6.5%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青神县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3.80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14.5%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沐川县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3.35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6.3%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梓潼县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3.82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米易县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3.36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6.0%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平昌县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3.87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广元市昭化区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3.38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-1.5%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阆中市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3.96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北川县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3.43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17.9%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剑阁县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3.98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古蔺县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3.46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22.7%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69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广元市利州区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3.99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剑阁县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3.48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5.8%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游仙区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4.02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绵阳市游仙区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3.50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3.2%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北川县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4.05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雅安市名山区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3.53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3.5%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峨眉山市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4.08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宣汉县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3.54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-7.6%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雅安市名山区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4.14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万源市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3.55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1.4%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仪陇县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4.14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攀枝花市仁和区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3.59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-4.8%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蓬溪县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4.17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蓬溪县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3.73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-6.3%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米易县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4.18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阆中市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3.73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广元市昭化区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4.18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南江县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3.75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7.8%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蓬安县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4.30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峨眉山市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3.76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17.1%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高县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4.30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仪陇县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3.76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-2.3%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万源市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4.31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青神县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3.79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27.2%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西充县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4.36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西充县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3.81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遂宁市船山区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4.36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19.8%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遂宁市船山区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3.87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12.8%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乐至县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4.40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巴中市巴州区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3.90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10.5%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宣汉县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4.44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攀枝花市西区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3.91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-5.3%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南部县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4.44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巴中市恩阳区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3.92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8.3%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射洪市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4.45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开江县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3.95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开江县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4.57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蓬安县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3.97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5.0%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叙永县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4.57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射洪市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4.01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42.2%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巴中市巴州区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4.59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金堂县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4.05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15.1%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金堂县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4.61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大邑县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4.06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43.5%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兴文县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4.62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乐至县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4.10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22.0%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中江县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4.63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邻水县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4.16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31.6%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广安市广安区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4.64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南部县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4.17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27.5%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巴中市恩阳区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4.65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通江县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4.20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15.4%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攀枝花市仁和区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4.66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威远县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4.22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7.7%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筠连县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4.68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都江堰市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4.24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18.4%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大邑县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4.68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乐山市金口河区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4.25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10.7%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乐山市金口河区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4.69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高县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4.27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8.7%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99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威远县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4.72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-1.0%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广安市广安区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4.31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11.4%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都江堰市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4.73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叙永县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4.36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16.6%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南江县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4.75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兴文县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4.44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34.1%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武胜县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4.81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资阳市雁江区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4.52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16.8%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103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渠县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4.81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中江县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4.58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27.9%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104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资中县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4.87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渠县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4.59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3.6%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105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攀枝花市西区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4.92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筠连县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4.68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32.6%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106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通江县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4.93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广汉市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4.74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43.6%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107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邻水县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4.94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38.4%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资中县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4.76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52.6%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108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资阳市雁江区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5.02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武胜县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4.78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25.1%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109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内江市市中区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5.12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110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绵阳市安州区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4.79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40.1%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110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广汉市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5.13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111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内江市市中区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4.91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32.7%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111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绵阳市安州区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5.32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43.8%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42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112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攀枝花市东区</w:t>
            </w:r>
          </w:p>
        </w:tc>
        <w:tc>
          <w:tcPr>
            <w:tcW w:w="675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5.18</w:t>
            </w:r>
          </w:p>
        </w:tc>
        <w:tc>
          <w:tcPr>
            <w:tcW w:w="54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21.9%</w:t>
            </w:r>
          </w:p>
        </w:tc>
        <w:tc>
          <w:tcPr>
            <w:tcW w:w="54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112</w:t>
            </w:r>
          </w:p>
        </w:tc>
        <w:tc>
          <w:tcPr>
            <w:tcW w:w="857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攀枝花市东区</w:t>
            </w:r>
          </w:p>
        </w:tc>
        <w:tc>
          <w:tcPr>
            <w:tcW w:w="57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5.62</w:t>
            </w:r>
          </w:p>
        </w:tc>
        <w:tc>
          <w:tcPr>
            <w:tcW w:w="521" w:type="pct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21.1%</w:t>
            </w:r>
          </w:p>
        </w:tc>
      </w:tr>
    </w:tbl>
    <w:p>
      <w:pPr>
        <w:rPr>
          <w:rFonts w:ascii="Times New Roman" w:hAnsi="Times New Roman" w:eastAsia="方正小标宋简体" w:cs="方正大标宋简体"/>
          <w:sz w:val="44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247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1207065679"/>
    </w:sdtPr>
    <w:sdtEndPr>
      <w:rPr>
        <w:rFonts w:hint="eastAsia" w:ascii="宋体" w:hAnsi="宋体"/>
        <w:sz w:val="28"/>
        <w:szCs w:val="28"/>
      </w:rPr>
    </w:sdtEndPr>
    <w:sdtContent>
      <w:p>
        <w:pPr>
          <w:pStyle w:val="3"/>
          <w:ind w:left="210" w:leftChars="100" w:right="210" w:rightChars="10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dit="readOnly"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B"/>
    <w:rsid w:val="000050E4"/>
    <w:rsid w:val="000167E1"/>
    <w:rsid w:val="000242D5"/>
    <w:rsid w:val="00054748"/>
    <w:rsid w:val="00091FBA"/>
    <w:rsid w:val="000A1139"/>
    <w:rsid w:val="000B069E"/>
    <w:rsid w:val="000F3100"/>
    <w:rsid w:val="00115034"/>
    <w:rsid w:val="00126896"/>
    <w:rsid w:val="00157C64"/>
    <w:rsid w:val="0016065D"/>
    <w:rsid w:val="00192722"/>
    <w:rsid w:val="001A548B"/>
    <w:rsid w:val="001E4955"/>
    <w:rsid w:val="00225798"/>
    <w:rsid w:val="002E4586"/>
    <w:rsid w:val="00392584"/>
    <w:rsid w:val="003A2920"/>
    <w:rsid w:val="003C1D02"/>
    <w:rsid w:val="003C5689"/>
    <w:rsid w:val="00426767"/>
    <w:rsid w:val="00446BD2"/>
    <w:rsid w:val="0046496C"/>
    <w:rsid w:val="004C304F"/>
    <w:rsid w:val="00563DDA"/>
    <w:rsid w:val="005D0382"/>
    <w:rsid w:val="005E415B"/>
    <w:rsid w:val="00627C80"/>
    <w:rsid w:val="0066796F"/>
    <w:rsid w:val="006A243E"/>
    <w:rsid w:val="007A7F49"/>
    <w:rsid w:val="00802B72"/>
    <w:rsid w:val="008240EB"/>
    <w:rsid w:val="008370C8"/>
    <w:rsid w:val="00864A01"/>
    <w:rsid w:val="0086751A"/>
    <w:rsid w:val="008C48A4"/>
    <w:rsid w:val="008D31C6"/>
    <w:rsid w:val="0095453F"/>
    <w:rsid w:val="009A028E"/>
    <w:rsid w:val="00A22130"/>
    <w:rsid w:val="00A572B5"/>
    <w:rsid w:val="00A8408A"/>
    <w:rsid w:val="00B179EF"/>
    <w:rsid w:val="00B30CB9"/>
    <w:rsid w:val="00B32A75"/>
    <w:rsid w:val="00B362C0"/>
    <w:rsid w:val="00B660F5"/>
    <w:rsid w:val="00B72419"/>
    <w:rsid w:val="00BB34C9"/>
    <w:rsid w:val="00C27992"/>
    <w:rsid w:val="00CA5CB4"/>
    <w:rsid w:val="00CC2DE4"/>
    <w:rsid w:val="00D12457"/>
    <w:rsid w:val="00D5071E"/>
    <w:rsid w:val="00DB0150"/>
    <w:rsid w:val="00DB117B"/>
    <w:rsid w:val="00DB43DD"/>
    <w:rsid w:val="00DF2AC4"/>
    <w:rsid w:val="00E11A80"/>
    <w:rsid w:val="00E21330"/>
    <w:rsid w:val="00E30F03"/>
    <w:rsid w:val="00E429FA"/>
    <w:rsid w:val="00E43051"/>
    <w:rsid w:val="00E83335"/>
    <w:rsid w:val="00EC6D3E"/>
    <w:rsid w:val="00EF55E8"/>
    <w:rsid w:val="00F4771B"/>
    <w:rsid w:val="00FA18C5"/>
    <w:rsid w:val="00FB3EB2"/>
    <w:rsid w:val="337F2699"/>
    <w:rsid w:val="3B5BFFFF"/>
    <w:rsid w:val="3F6FCDC2"/>
    <w:rsid w:val="3FEB0D97"/>
    <w:rsid w:val="4DFEAFCF"/>
    <w:rsid w:val="4FFB48A9"/>
    <w:rsid w:val="5DF15B96"/>
    <w:rsid w:val="5F71A242"/>
    <w:rsid w:val="5FFC65D7"/>
    <w:rsid w:val="5FFD3E82"/>
    <w:rsid w:val="63A3BAD4"/>
    <w:rsid w:val="6BEFD3A8"/>
    <w:rsid w:val="6E7DE051"/>
    <w:rsid w:val="6F4F0759"/>
    <w:rsid w:val="72DD379E"/>
    <w:rsid w:val="793F1352"/>
    <w:rsid w:val="79B5D496"/>
    <w:rsid w:val="7ABF2B09"/>
    <w:rsid w:val="7D2BD798"/>
    <w:rsid w:val="7DCD69DB"/>
    <w:rsid w:val="7EF511FD"/>
    <w:rsid w:val="7F3F223B"/>
    <w:rsid w:val="7F9EC8BD"/>
    <w:rsid w:val="7FA57C63"/>
    <w:rsid w:val="7FBFF667"/>
    <w:rsid w:val="7FC1A785"/>
    <w:rsid w:val="7FC71A85"/>
    <w:rsid w:val="7FF6B4E1"/>
    <w:rsid w:val="7FFB81C3"/>
    <w:rsid w:val="7FFE0C5A"/>
    <w:rsid w:val="8FBB5FA2"/>
    <w:rsid w:val="97DE5517"/>
    <w:rsid w:val="ADE71982"/>
    <w:rsid w:val="AEBF504D"/>
    <w:rsid w:val="B7AD6E61"/>
    <w:rsid w:val="BA9DD7A2"/>
    <w:rsid w:val="BABD0E5D"/>
    <w:rsid w:val="BDB8F828"/>
    <w:rsid w:val="BFB94B37"/>
    <w:rsid w:val="D33FE8D1"/>
    <w:rsid w:val="DBFF5130"/>
    <w:rsid w:val="DEFF992F"/>
    <w:rsid w:val="ED7B7C9F"/>
    <w:rsid w:val="F4EF4EA3"/>
    <w:rsid w:val="F7D69D10"/>
    <w:rsid w:val="FA5C05A6"/>
    <w:rsid w:val="FAED5696"/>
    <w:rsid w:val="FBEE2F97"/>
    <w:rsid w:val="FBF4EEEA"/>
    <w:rsid w:val="FBFA7539"/>
    <w:rsid w:val="FCB7D34B"/>
    <w:rsid w:val="FDD1477B"/>
    <w:rsid w:val="FEEEEE45"/>
    <w:rsid w:val="FEFEF3E3"/>
    <w:rsid w:val="FF1F9628"/>
    <w:rsid w:val="FF7B6AA6"/>
    <w:rsid w:val="FF7F918C"/>
    <w:rsid w:val="FFDE3FC2"/>
    <w:rsid w:val="FFE63BB5"/>
    <w:rsid w:val="FFF716F0"/>
    <w:rsid w:val="FFFED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1306</Words>
  <Characters>7445</Characters>
  <Lines>62</Lines>
  <Paragraphs>17</Paragraphs>
  <TotalTime>15</TotalTime>
  <ScaleCrop>false</ScaleCrop>
  <LinksUpToDate>false</LinksUpToDate>
  <CharactersWithSpaces>8734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2021-03-29T10:45:00Z</dcterms:created>
  <dc:creator>陈权</dc:creator>
  <cp:lastModifiedBy>user</cp:lastModifiedBy>
  <cp:lastPrinted>2021-04-02T10:20:00Z</cp:lastPrinted>
  <dcterms:modified xsi:type="dcterms:W3CDTF">2021-05-14T15:44:05Z</dcterms:modified>
  <dc:title>四川省生态环境保护委员会办公室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