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topLinePunct/>
        <w:spacing w:before="0" w:beforeAutospacing="0" w:after="0" w:afterAutospacing="0" w:line="600" w:lineRule="exact"/>
        <w:ind w:firstLine="0" w:firstLineChars="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1" w:name="_GoBack"/>
      <w:bookmarkEnd w:id="1"/>
      <w:bookmarkStart w:id="0" w:name="_Toc31317"/>
      <w:r>
        <w:rPr>
          <w:rFonts w:hint="eastAsia" w:ascii="黑体" w:hAnsi="黑体" w:eastAsia="黑体"/>
          <w:sz w:val="32"/>
          <w:szCs w:val="32"/>
        </w:rPr>
        <w:t>附件</w:t>
      </w:r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3"/>
        <w:overflowPunct w:val="0"/>
        <w:topLinePunct/>
        <w:spacing w:before="0" w:beforeAutospacing="0" w:after="0" w:afterAutospacing="0" w:line="600" w:lineRule="exact"/>
        <w:ind w:firstLine="0" w:firstLineChars="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3"/>
        <w:overflowPunct w:val="0"/>
        <w:topLinePunct/>
        <w:spacing w:before="0" w:beforeAutospacing="0" w:after="0" w:afterAutospacing="0"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eastAsia="zh-CN"/>
        </w:rPr>
        <w:t>单项限价表</w:t>
      </w:r>
    </w:p>
    <w:p>
      <w:pPr>
        <w:pStyle w:val="3"/>
        <w:overflowPunct w:val="0"/>
        <w:topLinePunct/>
        <w:spacing w:before="0" w:beforeAutospacing="0" w:after="0" w:afterAutospacing="0" w:line="360" w:lineRule="exact"/>
        <w:jc w:val="both"/>
        <w:rPr>
          <w:rFonts w:hint="eastAsia" w:ascii="Times New Roman" w:hAnsi="Times New Roman" w:eastAsia="仿宋_GB2312" w:cs="Times New Roman"/>
          <w:lang w:eastAsia="zh-CN"/>
        </w:rPr>
      </w:pPr>
    </w:p>
    <w:tbl>
      <w:tblPr>
        <w:tblStyle w:val="4"/>
        <w:tblpPr w:leftFromText="180" w:rightFromText="180" w:vertAnchor="text" w:horzAnchor="page" w:tblpX="1724" w:tblpY="93"/>
        <w:tblOverlap w:val="never"/>
        <w:tblW w:w="4734" w:type="pct"/>
        <w:jc w:val="center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80"/>
        <w:gridCol w:w="1975"/>
        <w:gridCol w:w="981"/>
        <w:gridCol w:w="1756"/>
        <w:gridCol w:w="1948"/>
        <w:gridCol w:w="5608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0" w:hRule="atLeast"/>
          <w:tblHeader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项目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单位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价格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服务内容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96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拍摄费用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  <w:lang w:val="en"/>
              </w:rPr>
              <w:t>人、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天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2500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包括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摄影师拍摄期间产生的住宿费、餐费，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摄影器材、无人机、收音设备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等仪器设备的使用费。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96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拍摄车辆使用费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台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天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600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过路费、油费据实报销，其中，油费根据当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次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油价以及实际公里数计算。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59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后期费用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分钟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1500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包括剪辑、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包装、动画制作、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配音、特效等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制作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费用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以及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5次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（含）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以内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的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小修改；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分钟数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以最终成片时间计算。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4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配音费用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分钟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400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单次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额外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配音费用；配音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分钟数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以最终成片时间计算。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04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加急费用1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后期费用总价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的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70%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要求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36小时内交付初稿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的专题片。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04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加急费用2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后期费用总价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的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50%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要求48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小时内交付初稿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的专题片。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04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加急费用3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后期费用总价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的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25%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要求60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小时内交付初稿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的专题片。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04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修改费用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后期费用总价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的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50%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文案修改超过30%（段落调整），或小修改6-10次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修改费用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/>
                <w:kern w:val="0"/>
                <w:sz w:val="24"/>
                <w:szCs w:val="28"/>
                <w:lang w:val="en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后期费用总价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的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70%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文案修改超过50%，或小修改11次及以上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。</w:t>
            </w:r>
          </w:p>
        </w:tc>
      </w:tr>
    </w:tbl>
    <w:p>
      <w:pPr>
        <w:pStyle w:val="3"/>
        <w:overflowPunct w:val="0"/>
        <w:topLinePunct/>
        <w:spacing w:before="0" w:beforeAutospacing="0" w:after="0" w:afterAutospacing="0" w:line="360" w:lineRule="exact"/>
        <w:jc w:val="both"/>
        <w:rPr>
          <w:rFonts w:hint="eastAsia" w:ascii="Times New Roman" w:hAnsi="Times New Roman" w:eastAsia="仿宋_GB2312" w:cs="Times New Roman"/>
          <w:lang w:eastAsia="zh-CN"/>
        </w:rPr>
      </w:pPr>
    </w:p>
    <w:p>
      <w:pPr>
        <w:pStyle w:val="3"/>
        <w:overflowPunct w:val="0"/>
        <w:topLinePunct/>
        <w:spacing w:before="0" w:beforeAutospacing="0" w:after="0" w:afterAutospacing="0" w:line="360" w:lineRule="exact"/>
        <w:jc w:val="both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（注：</w:t>
      </w:r>
      <w:r>
        <w:rPr>
          <w:rFonts w:ascii="Times New Roman" w:hAnsi="Times New Roman" w:eastAsia="仿宋_GB2312" w:cs="Times New Roman"/>
        </w:rPr>
        <w:t>上述清单中未列入的</w:t>
      </w:r>
      <w:r>
        <w:rPr>
          <w:rFonts w:hint="eastAsia" w:ascii="Times New Roman" w:hAnsi="Times New Roman" w:eastAsia="仿宋_GB2312" w:cs="Times New Roman"/>
        </w:rPr>
        <w:t>项</w:t>
      </w:r>
      <w:r>
        <w:rPr>
          <w:rFonts w:ascii="Times New Roman" w:hAnsi="Times New Roman" w:eastAsia="仿宋_GB2312" w:cs="Times New Roman"/>
        </w:rPr>
        <w:t>目，在</w:t>
      </w:r>
      <w:r>
        <w:rPr>
          <w:rFonts w:hint="eastAsia" w:ascii="Times New Roman" w:hAnsi="Times New Roman" w:eastAsia="仿宋_GB2312" w:cs="Times New Roman"/>
        </w:rPr>
        <w:t>专题片制作</w:t>
      </w:r>
      <w:r>
        <w:rPr>
          <w:rFonts w:ascii="Times New Roman" w:hAnsi="Times New Roman" w:eastAsia="仿宋_GB2312" w:cs="Times New Roman"/>
        </w:rPr>
        <w:t>实施时与</w:t>
      </w:r>
      <w:r>
        <w:rPr>
          <w:rFonts w:hint="eastAsia" w:ascii="Times New Roman" w:hAnsi="Times New Roman" w:eastAsia="仿宋_GB2312" w:cs="Times New Roman"/>
        </w:rPr>
        <w:t>中选单位</w:t>
      </w:r>
      <w:r>
        <w:rPr>
          <w:rFonts w:ascii="Times New Roman" w:hAnsi="Times New Roman" w:eastAsia="仿宋_GB2312" w:cs="Times New Roman"/>
        </w:rPr>
        <w:t>以市场价为参考依据，经双方平等协商后确定最终的结算单价。</w:t>
      </w:r>
      <w:r>
        <w:rPr>
          <w:rFonts w:hint="eastAsia" w:ascii="Times New Roman" w:hAnsi="Times New Roman" w:eastAsia="仿宋_GB2312" w:cs="Times New Roman"/>
          <w:lang w:eastAsia="zh-CN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7AD03B5"/>
    <w:rsid w:val="EE73D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thy</cp:lastModifiedBy>
  <dcterms:modified xsi:type="dcterms:W3CDTF">2023-07-24T17:17:32Z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