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topLinePunct/>
        <w:autoSpaceDE/>
        <w:autoSpaceDN/>
        <w:spacing w:line="600" w:lineRule="exact"/>
        <w:jc w:val="center"/>
        <w:rPr>
          <w:rFonts w:ascii="Times New Roman" w:hAnsi="Times New Roman" w:eastAsia="方正小标宋简体" w:cs="方正公文小标宋"/>
          <w:spacing w:val="-7"/>
          <w:sz w:val="44"/>
          <w:szCs w:val="44"/>
          <w:lang w:eastAsia="zh-CN"/>
        </w:rPr>
      </w:pPr>
      <w:bookmarkStart w:id="0" w:name="_GoBack"/>
      <w:r>
        <w:rPr>
          <w:rFonts w:hint="eastAsia" w:ascii="Times New Roman" w:hAnsi="Times New Roman" w:eastAsia="方正小标宋简体" w:cs="方正公文小标宋"/>
          <w:spacing w:val="-7"/>
          <w:sz w:val="44"/>
          <w:szCs w:val="44"/>
          <w:lang w:eastAsia="zh-CN"/>
        </w:rPr>
        <w:t>第二轮中央生态环境保护督察第三十二项</w:t>
      </w:r>
    </w:p>
    <w:p>
      <w:pPr>
        <w:overflowPunct w:val="0"/>
        <w:topLinePunct/>
        <w:autoSpaceDE/>
        <w:autoSpaceDN/>
        <w:spacing w:line="600" w:lineRule="exact"/>
        <w:jc w:val="center"/>
        <w:rPr>
          <w:rFonts w:ascii="Times New Roman" w:hAnsi="Times New Roman" w:eastAsia="方正小标宋简体" w:cs="方正公文小标宋"/>
          <w:spacing w:val="-7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公文小标宋"/>
          <w:spacing w:val="-7"/>
          <w:sz w:val="44"/>
          <w:szCs w:val="44"/>
          <w:lang w:eastAsia="zh-CN"/>
        </w:rPr>
        <w:t>整改任务完成情况表</w:t>
      </w:r>
    </w:p>
    <w:bookmarkEnd w:id="0"/>
    <w:p>
      <w:pPr>
        <w:overflowPunct w:val="0"/>
        <w:topLinePunct/>
        <w:autoSpaceDE/>
        <w:autoSpaceDN/>
        <w:spacing w:line="300" w:lineRule="exact"/>
        <w:jc w:val="center"/>
        <w:rPr>
          <w:rFonts w:ascii="Times New Roman" w:hAnsi="Times New Roman" w:eastAsia="方正小标宋简体" w:cs="方正公文小标宋"/>
          <w:spacing w:val="-7"/>
          <w:sz w:val="44"/>
          <w:szCs w:val="44"/>
          <w:lang w:eastAsia="zh-CN"/>
        </w:rPr>
      </w:pPr>
    </w:p>
    <w:tbl>
      <w:tblPr>
        <w:tblStyle w:val="5"/>
        <w:tblW w:w="88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2"/>
        <w:gridCol w:w="6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2252" w:type="dxa"/>
            <w:vAlign w:val="center"/>
          </w:tcPr>
          <w:p>
            <w:pPr>
              <w:pStyle w:val="4"/>
              <w:overflowPunct w:val="0"/>
              <w:topLinePunct/>
              <w:autoSpaceDE/>
              <w:autoSpaceDN/>
              <w:spacing w:before="91" w:line="219" w:lineRule="auto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pacing w:val="-6"/>
              </w:rPr>
              <w:t>整改任务</w:t>
            </w:r>
          </w:p>
        </w:tc>
        <w:tc>
          <w:tcPr>
            <w:tcW w:w="6567" w:type="dxa"/>
          </w:tcPr>
          <w:p>
            <w:pPr>
              <w:pStyle w:val="4"/>
              <w:kinsoku/>
              <w:overflowPunct w:val="0"/>
              <w:topLinePunct/>
              <w:autoSpaceDE/>
              <w:autoSpaceDN/>
              <w:spacing w:line="440" w:lineRule="exact"/>
              <w:ind w:left="67" w:firstLine="560" w:firstLineChars="200"/>
              <w:jc w:val="both"/>
              <w:rPr>
                <w:rFonts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lang w:eastAsia="zh-CN"/>
              </w:rPr>
              <w:t>第二轮中央生态环境保护督察第三十二项整改任务：自贡市久大盐业厂区“跑冒滴漏”问题严重，长期违</w:t>
            </w:r>
            <w:r>
              <w:rPr>
                <w:rFonts w:hint="eastAsia" w:ascii="Times New Roman" w:hAnsi="Times New Roman" w:eastAsia="仿宋_GB2312" w:cs="仿宋_GB2312"/>
                <w:spacing w:val="-4"/>
                <w:lang w:eastAsia="zh-CN"/>
              </w:rPr>
              <w:t>法向金鱼河排放含盐高温废水，先后多次因废水氯化物超标受到行政处罚，但仍整改不到位，进驻期间又被群众多次投</w:t>
            </w:r>
            <w:r>
              <w:rPr>
                <w:rFonts w:hint="eastAsia" w:ascii="Times New Roman" w:hAnsi="Times New Roman" w:eastAsia="仿宋_GB2312" w:cs="仿宋_GB2312"/>
                <w:spacing w:val="-1"/>
                <w:lang w:eastAsia="zh-CN"/>
              </w:rPr>
              <w:t>诉举报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2252" w:type="dxa"/>
            <w:vAlign w:val="center"/>
          </w:tcPr>
          <w:p>
            <w:pPr>
              <w:pStyle w:val="4"/>
              <w:overflowPunct w:val="0"/>
              <w:topLinePunct/>
              <w:autoSpaceDE/>
              <w:autoSpaceDN/>
              <w:spacing w:before="150" w:line="219" w:lineRule="auto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pacing w:val="-5"/>
              </w:rPr>
              <w:t>整改责任单位</w:t>
            </w:r>
          </w:p>
        </w:tc>
        <w:tc>
          <w:tcPr>
            <w:tcW w:w="6567" w:type="dxa"/>
          </w:tcPr>
          <w:p>
            <w:pPr>
              <w:pStyle w:val="4"/>
              <w:kinsoku/>
              <w:overflowPunct w:val="0"/>
              <w:topLinePunct/>
              <w:autoSpaceDE/>
              <w:autoSpaceDN/>
              <w:spacing w:before="152" w:line="440" w:lineRule="exact"/>
              <w:ind w:firstLine="560" w:firstLineChars="200"/>
              <w:jc w:val="both"/>
              <w:rPr>
                <w:rFonts w:ascii="Times New Roman" w:hAnsi="Times New Roman" w:eastAsia="仿宋_GB2312" w:cs="仿宋_GB2312"/>
              </w:rPr>
            </w:pPr>
            <w:r>
              <w:rPr>
                <w:rFonts w:hint="eastAsia" w:ascii="Times New Roman" w:hAnsi="Times New Roman" w:eastAsia="仿宋_GB2312" w:cs="仿宋_GB2312"/>
                <w:lang w:eastAsia="zh-CN"/>
              </w:rPr>
              <w:t>自贡市委、市政府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2252" w:type="dxa"/>
            <w:vAlign w:val="center"/>
          </w:tcPr>
          <w:p>
            <w:pPr>
              <w:pStyle w:val="4"/>
              <w:overflowPunct w:val="0"/>
              <w:topLinePunct/>
              <w:autoSpaceDE/>
              <w:autoSpaceDN/>
              <w:spacing w:before="91" w:line="219" w:lineRule="auto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pacing w:val="-6"/>
              </w:rPr>
              <w:t>整改目标</w:t>
            </w:r>
          </w:p>
        </w:tc>
        <w:tc>
          <w:tcPr>
            <w:tcW w:w="6567" w:type="dxa"/>
          </w:tcPr>
          <w:p>
            <w:pPr>
              <w:pStyle w:val="4"/>
              <w:kinsoku/>
              <w:overflowPunct w:val="0"/>
              <w:topLinePunct/>
              <w:autoSpaceDE/>
              <w:autoSpaceDN/>
              <w:spacing w:before="1" w:line="440" w:lineRule="exact"/>
              <w:ind w:left="12" w:firstLine="560" w:firstLineChars="200"/>
              <w:jc w:val="both"/>
              <w:rPr>
                <w:rFonts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lang w:eastAsia="zh-CN"/>
              </w:rPr>
              <w:t>完成自贡市久大盐业厂区“跑冒滴漏”问题与长期违法向金鱼河排放含盐高温废水问题整改。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7" w:hRule="atLeast"/>
        </w:trPr>
        <w:tc>
          <w:tcPr>
            <w:tcW w:w="2252" w:type="dxa"/>
            <w:vAlign w:val="center"/>
          </w:tcPr>
          <w:p>
            <w:pPr>
              <w:pStyle w:val="4"/>
              <w:overflowPunct w:val="0"/>
              <w:topLinePunct/>
              <w:autoSpaceDE/>
              <w:autoSpaceDN/>
              <w:spacing w:before="92" w:line="219" w:lineRule="auto"/>
              <w:jc w:val="center"/>
              <w:rPr>
                <w:rFonts w:ascii="Times New Roman" w:hAnsi="Times New Roman" w:eastAsia="黑体" w:cs="黑体"/>
              </w:rPr>
            </w:pPr>
            <w:r>
              <w:rPr>
                <w:rFonts w:hint="eastAsia" w:ascii="Times New Roman" w:hAnsi="Times New Roman" w:eastAsia="黑体" w:cs="黑体"/>
                <w:spacing w:val="-6"/>
              </w:rPr>
              <w:t>整改措施</w:t>
            </w:r>
          </w:p>
        </w:tc>
        <w:tc>
          <w:tcPr>
            <w:tcW w:w="6567" w:type="dxa"/>
          </w:tcPr>
          <w:p>
            <w:pPr>
              <w:kinsoku/>
              <w:overflowPunct w:val="0"/>
              <w:topLinePunct/>
              <w:autoSpaceDE/>
              <w:autoSpaceDN/>
              <w:spacing w:before="85" w:line="440" w:lineRule="exact"/>
              <w:ind w:right="21" w:firstLine="560" w:firstLineChars="200"/>
              <w:jc w:val="both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1.2022年3月底前，全面完成企业外排废水问题排查，制定整治方案。</w:t>
            </w:r>
          </w:p>
          <w:p>
            <w:pPr>
              <w:kinsoku/>
              <w:overflowPunct w:val="0"/>
              <w:topLinePunct/>
              <w:autoSpaceDE/>
              <w:autoSpaceDN/>
              <w:spacing w:before="85" w:line="440" w:lineRule="exact"/>
              <w:ind w:right="21" w:firstLine="560" w:firstLineChars="200"/>
              <w:jc w:val="both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2.2022年6月底前，严格按照整治方案落实相关措施，降低外排水水温及氯离子浓度，确保达标排放。</w:t>
            </w:r>
          </w:p>
          <w:p>
            <w:pPr>
              <w:pStyle w:val="4"/>
              <w:kinsoku/>
              <w:overflowPunct w:val="0"/>
              <w:topLinePunct/>
              <w:autoSpaceDE/>
              <w:autoSpaceDN/>
              <w:spacing w:before="1" w:line="440" w:lineRule="exact"/>
              <w:ind w:left="33" w:firstLine="560" w:firstLineChars="200"/>
              <w:jc w:val="both"/>
              <w:rPr>
                <w:rFonts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lang w:eastAsia="zh-CN"/>
              </w:rPr>
              <w:t>3.督促企业常态化做好设备维护保养，加强原辅材料和成品盐管理，防止“跑冒滴漏”发生。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2" w:hRule="atLeast"/>
        </w:trPr>
        <w:tc>
          <w:tcPr>
            <w:tcW w:w="2252" w:type="dxa"/>
            <w:vAlign w:val="center"/>
          </w:tcPr>
          <w:p>
            <w:pPr>
              <w:pStyle w:val="4"/>
              <w:overflowPunct w:val="0"/>
              <w:topLinePunct/>
              <w:autoSpaceDE/>
              <w:autoSpaceDN/>
              <w:spacing w:before="91" w:line="501" w:lineRule="exact"/>
              <w:jc w:val="center"/>
              <w:rPr>
                <w:rFonts w:ascii="Times New Roman" w:hAnsi="Times New Roman" w:eastAsia="黑体" w:cs="黑体"/>
                <w:spacing w:val="-2"/>
                <w:position w:val="16"/>
              </w:rPr>
            </w:pPr>
            <w:r>
              <w:rPr>
                <w:rFonts w:hint="eastAsia" w:ascii="Times New Roman" w:hAnsi="Times New Roman" w:eastAsia="黑体" w:cs="黑体"/>
                <w:spacing w:val="-2"/>
                <w:position w:val="16"/>
              </w:rPr>
              <w:t>整改主要工作</w:t>
            </w:r>
          </w:p>
          <w:p>
            <w:pPr>
              <w:pStyle w:val="4"/>
              <w:overflowPunct w:val="0"/>
              <w:topLinePunct/>
              <w:autoSpaceDE/>
              <w:autoSpaceDN/>
              <w:spacing w:before="91" w:line="501" w:lineRule="exact"/>
              <w:jc w:val="center"/>
              <w:rPr>
                <w:rFonts w:ascii="Times New Roman" w:hAnsi="Times New Roman" w:eastAsia="黑体" w:cs="黑体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pacing w:val="-2"/>
                <w:position w:val="16"/>
                <w:lang w:eastAsia="zh-CN"/>
              </w:rPr>
              <w:t>及成效</w:t>
            </w:r>
          </w:p>
        </w:tc>
        <w:tc>
          <w:tcPr>
            <w:tcW w:w="6567" w:type="dxa"/>
          </w:tcPr>
          <w:p>
            <w:pPr>
              <w:kinsoku/>
              <w:overflowPunct w:val="0"/>
              <w:topLinePunct/>
              <w:autoSpaceDE/>
              <w:autoSpaceDN/>
              <w:spacing w:before="53" w:line="440" w:lineRule="exact"/>
              <w:ind w:firstLine="562" w:firstLineChars="200"/>
              <w:jc w:val="both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1.制定整治方案，完成问题排查。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市委、市政府高度重视，市委常委会会议、市政府常务会议分别专题研究部署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8"/>
                <w:szCs w:val="28"/>
                <w:lang w:eastAsia="zh-CN"/>
              </w:rPr>
              <w:t>整改工作，制定《自贡市贯彻落实第二轮中央生态环境保护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督察报告整改实施方案》(自委发〔2022〕20号),并先后多次组织召开现场办公会，督促企业聘请专家对生产工艺、外</w:t>
            </w:r>
            <w:r>
              <w:rPr>
                <w:rFonts w:hint="eastAsia" w:ascii="Times New Roman" w:hAnsi="Times New Roman" w:eastAsia="仿宋_GB2312" w:cs="仿宋_GB2312"/>
                <w:spacing w:val="3"/>
                <w:sz w:val="28"/>
                <w:szCs w:val="28"/>
                <w:lang w:eastAsia="zh-CN"/>
              </w:rPr>
              <w:t>排水来源和水量、特征污染物种类及浓度等进行全面排查分析，反复论证后形成《四川久大制盐有限责任公司外排水综</w:t>
            </w:r>
            <w:r>
              <w:rPr>
                <w:rFonts w:hint="eastAsia" w:ascii="Times New Roman" w:hAnsi="Times New Roman" w:eastAsia="仿宋_GB2312" w:cs="仿宋_GB2312"/>
                <w:spacing w:val="-1"/>
                <w:sz w:val="28"/>
                <w:szCs w:val="28"/>
                <w:lang w:eastAsia="zh-CN"/>
              </w:rPr>
              <w:t>合治理技术方案设计》,严格对照污染物排放最新标准，分类采取处理措施。</w:t>
            </w:r>
          </w:p>
          <w:p>
            <w:pPr>
              <w:kinsoku/>
              <w:overflowPunct w:val="0"/>
              <w:topLinePunct/>
              <w:autoSpaceDE/>
              <w:autoSpaceDN/>
              <w:spacing w:before="33" w:line="440" w:lineRule="exact"/>
              <w:ind w:firstLine="562" w:firstLineChars="200"/>
              <w:jc w:val="both"/>
              <w:rPr>
                <w:rFonts w:ascii="Times New Roman" w:hAnsi="Times New Roman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8"/>
                <w:szCs w:val="28"/>
                <w:lang w:eastAsia="zh-CN"/>
              </w:rPr>
              <w:t>2.落实相关措施，确保达标排放。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通过市区联动，会同企业成立久大公司环保问题整治工作专班，采取挂图作战、周例会、派员蹲点督导等措施，强力推进久大公司环保问题整治。企业先后累计投入环保问题整治资金5681万元，其中外排废水整治投资810万元，新增3组共9台冷却塔，</w:t>
            </w:r>
            <w:r>
              <w:rPr>
                <w:rFonts w:hint="eastAsia" w:ascii="Times New Roman" w:hAnsi="Times New Roman" w:eastAsia="仿宋_GB2312" w:cs="仿宋_GB2312"/>
                <w:spacing w:val="-1"/>
                <w:sz w:val="28"/>
                <w:szCs w:val="28"/>
                <w:lang w:eastAsia="zh-CN"/>
              </w:rPr>
              <w:t>确保降低外排水温，完成机械过滤器、膜处理系统等污水处</w:t>
            </w:r>
            <w:r>
              <w:rPr>
                <w:rFonts w:hint="eastAsia" w:ascii="Times New Roman" w:hAnsi="Times New Roman" w:eastAsia="仿宋_GB2312" w:cs="仿宋_GB2312"/>
                <w:spacing w:val="6"/>
                <w:sz w:val="28"/>
                <w:szCs w:val="28"/>
                <w:lang w:eastAsia="zh-CN"/>
              </w:rPr>
              <w:t>理设备的安装和调试，完成配套管网建设，对工艺冷凝水、</w:t>
            </w:r>
            <w:r>
              <w:rPr>
                <w:rFonts w:hint="eastAsia" w:ascii="Times New Roman" w:hAnsi="Times New Roman" w:eastAsia="仿宋_GB2312" w:cs="仿宋_GB2312"/>
                <w:spacing w:val="2"/>
                <w:sz w:val="28"/>
                <w:szCs w:val="28"/>
                <w:lang w:eastAsia="zh-CN"/>
              </w:rPr>
              <w:t>地下水渗水、生产废水等进行全面收集，通过机械过滤和膜系统处理，确保实现高浓度废水回收利用、低浓度废</w:t>
            </w:r>
            <w:r>
              <w:rPr>
                <w:rFonts w:hint="eastAsia" w:ascii="Times New Roman" w:hAnsi="Times New Roman" w:eastAsia="仿宋_GB2312" w:cs="仿宋_GB2312"/>
                <w:spacing w:val="1"/>
                <w:sz w:val="28"/>
                <w:szCs w:val="28"/>
                <w:lang w:eastAsia="zh-CN"/>
              </w:rPr>
              <w:t>水达标</w:t>
            </w:r>
            <w:r>
              <w:rPr>
                <w:rFonts w:hint="eastAsia" w:ascii="Times New Roman" w:hAnsi="Times New Roman" w:eastAsia="仿宋_GB2312" w:cs="仿宋_GB2312"/>
                <w:sz w:val="28"/>
                <w:szCs w:val="28"/>
                <w:lang w:eastAsia="zh-CN"/>
              </w:rPr>
              <w:t>排放；清洁能源替代项目投资4871万元，年减少燃煤使用量约14.13万吨标煤，年减排二氧化碳34.71万吨、氮氧化物381.55吨、挥发性有机物4.04吨。整治工作完成后，委托多家第三方机构多次对外排废水各项指标进行监测。经监测，氯离子等污染物浓度稳定达到污染物排放最新标准，外排水温满足国家地表水环境质量标准。</w:t>
            </w:r>
          </w:p>
          <w:p>
            <w:pPr>
              <w:pStyle w:val="4"/>
              <w:kinsoku/>
              <w:overflowPunct w:val="0"/>
              <w:topLinePunct/>
              <w:autoSpaceDE/>
              <w:autoSpaceDN/>
              <w:spacing w:line="440" w:lineRule="exact"/>
              <w:ind w:left="22" w:firstLine="558" w:firstLineChars="200"/>
              <w:jc w:val="both"/>
              <w:rPr>
                <w:rFonts w:ascii="Times New Roman" w:hAnsi="Times New Roman" w:eastAsia="仿宋_GB2312" w:cs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pacing w:val="-1"/>
                <w:lang w:eastAsia="zh-CN"/>
              </w:rPr>
              <w:t>3.督促企业建立长效机制，防止“跑冒滴漏”发生。</w:t>
            </w:r>
            <w:r>
              <w:rPr>
                <w:rFonts w:hint="eastAsia" w:ascii="Times New Roman" w:hAnsi="Times New Roman" w:eastAsia="仿宋_GB2312" w:cs="仿宋_GB2312"/>
                <w:spacing w:val="-1"/>
                <w:lang w:eastAsia="zh-CN"/>
              </w:rPr>
              <w:t>经信、生态环境部门对企业进行不定</w:t>
            </w:r>
            <w:r>
              <w:rPr>
                <w:rFonts w:hint="eastAsia" w:ascii="Times New Roman" w:hAnsi="Times New Roman" w:eastAsia="仿宋_GB2312" w:cs="仿宋_GB2312"/>
                <w:spacing w:val="-2"/>
                <w:lang w:eastAsia="zh-CN"/>
              </w:rPr>
              <w:t>期督促检查和</w:t>
            </w:r>
            <w:r>
              <w:rPr>
                <w:rFonts w:hint="eastAsia" w:ascii="Times New Roman" w:hAnsi="Times New Roman" w:eastAsia="仿宋_GB2312" w:cs="仿宋_GB2312"/>
                <w:spacing w:val="2"/>
                <w:lang w:eastAsia="zh-CN"/>
              </w:rPr>
              <w:t>监管指导，对企业外排废水各项指标进行了多次</w:t>
            </w:r>
            <w:r>
              <w:rPr>
                <w:rFonts w:hint="eastAsia" w:ascii="Times New Roman" w:hAnsi="Times New Roman" w:eastAsia="仿宋_GB2312" w:cs="仿宋_GB2312"/>
                <w:spacing w:val="1"/>
                <w:lang w:eastAsia="zh-CN"/>
              </w:rPr>
              <w:t>监测，监测结果显示久大公司实现达标排放，且先后建立《水处理运行</w:t>
            </w:r>
            <w:r>
              <w:rPr>
                <w:rFonts w:hint="eastAsia" w:ascii="Times New Roman" w:hAnsi="Times New Roman" w:eastAsia="仿宋_GB2312" w:cs="仿宋_GB2312"/>
                <w:spacing w:val="-3"/>
                <w:lang w:eastAsia="zh-CN"/>
              </w:rPr>
              <w:t>人员岗位责任制》《巡回检查制度》《交接班制度》等多项日</w:t>
            </w:r>
            <w:r>
              <w:rPr>
                <w:rFonts w:hint="eastAsia" w:ascii="Times New Roman" w:hAnsi="Times New Roman" w:eastAsia="仿宋_GB2312" w:cs="仿宋_GB2312"/>
                <w:spacing w:val="2"/>
                <w:lang w:eastAsia="zh-CN"/>
              </w:rPr>
              <w:t>常运行管理制度及冷却水处理等管理台账，</w:t>
            </w:r>
            <w:r>
              <w:rPr>
                <w:rFonts w:hint="eastAsia" w:ascii="Times New Roman" w:hAnsi="Times New Roman" w:eastAsia="仿宋_GB2312" w:cs="仿宋_GB2312"/>
                <w:spacing w:val="1"/>
                <w:lang w:eastAsia="zh-CN"/>
              </w:rPr>
              <w:t>加强对设备维护</w:t>
            </w:r>
            <w:r>
              <w:rPr>
                <w:rFonts w:hint="eastAsia" w:ascii="Times New Roman" w:hAnsi="Times New Roman" w:eastAsia="仿宋_GB2312" w:cs="仿宋_GB2312"/>
                <w:spacing w:val="2"/>
                <w:lang w:eastAsia="zh-CN"/>
              </w:rPr>
              <w:t>保养、原辅材料和成品盐管理，防止“跑冒滴漏”发生。自</w:t>
            </w:r>
            <w:r>
              <w:rPr>
                <w:rFonts w:hint="eastAsia" w:ascii="Times New Roman" w:hAnsi="Times New Roman" w:eastAsia="仿宋_GB2312" w:cs="仿宋_GB2312"/>
                <w:spacing w:val="-2"/>
                <w:lang w:eastAsia="zh-CN"/>
              </w:rPr>
              <w:t>流井区组织久大公司周边群众对该企业整改情况开展评价，</w:t>
            </w:r>
            <w:r>
              <w:rPr>
                <w:rFonts w:hint="eastAsia" w:ascii="Times New Roman" w:hAnsi="Times New Roman" w:eastAsia="仿宋_GB2312" w:cs="仿宋_GB2312"/>
                <w:spacing w:val="-1"/>
                <w:lang w:eastAsia="zh-CN"/>
              </w:rPr>
              <w:t>评价结果显示周边群众对久大公司整改情况表示满意。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851514D-4135-4FB3-9DAA-6BA4E1065F2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21E54760-89B9-48B0-AD61-99CD6EC0031E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B8A8437-1369-4FEA-9E34-120412AA6D66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8533522F-C7D4-4385-BBB2-6B969A362D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AD0537D-8FE5-4E72-9FB5-8D009D506CC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3MjYxNmIyMWY0NGM5MzE4NjA4YmY0NDliYTc5OTgifQ=="/>
  </w:docVars>
  <w:rsids>
    <w:rsidRoot w:val="039F3FD1"/>
    <w:rsid w:val="039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28"/>
      <w:szCs w:val="28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2024-04-16T07:21:00Z</dcterms:created>
  <dc:creator>李佳</dc:creator>
  <cp:lastModifiedBy>李佳</cp:lastModifiedBy>
  <dcterms:modified xsi:type="dcterms:W3CDTF">2024-04-16T07:22:04Z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2794F98284EB424EB5F56A0BE6369FC2_11</vt:lpwstr>
  </property>
</Properties>
</file>