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400" w:lineRule="exact"/>
        <w:rPr>
          <w:rFonts w:ascii="Times New Roman" w:hAnsi="Times New Roman" w:eastAsia="黑体"/>
          <w:sz w:val="32"/>
          <w:szCs w:val="32"/>
        </w:rPr>
      </w:pPr>
      <w:r>
        <w:rPr>
          <w:rFonts w:hint="eastAsia" w:ascii="Times New Roman" w:hAnsi="Times New Roman" w:eastAsia="黑体"/>
          <w:sz w:val="32"/>
          <w:szCs w:val="32"/>
        </w:rPr>
        <w:t>附件2</w:t>
      </w:r>
    </w:p>
    <w:p>
      <w:pPr>
        <w:overflowPunct w:val="0"/>
        <w:topLinePunct/>
        <w:spacing w:line="600" w:lineRule="exact"/>
        <w:jc w:val="center"/>
        <w:rPr>
          <w:rFonts w:ascii="Times New Roman" w:hAnsi="Times New Roman" w:eastAsia="黑体"/>
          <w:sz w:val="32"/>
          <w:szCs w:val="32"/>
        </w:rPr>
      </w:pPr>
    </w:p>
    <w:p>
      <w:pPr>
        <w:overflowPunct w:val="0"/>
        <w:topLinePunct/>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lang w:eastAsia="zh-CN"/>
        </w:rPr>
        <w:t>第二轮中央生态环境保护督察第三项整改任务完成情况表</w:t>
      </w:r>
    </w:p>
    <w:p>
      <w:pPr>
        <w:overflowPunct w:val="0"/>
        <w:topLinePunct/>
        <w:spacing w:line="600" w:lineRule="exact"/>
        <w:rPr>
          <w:rFonts w:hint="eastAsia" w:ascii="Times New Roman" w:hAnsi="Times New Roman" w:eastAsia="仿宋_GB2312"/>
          <w:sz w:val="28"/>
          <w:szCs w:val="28"/>
        </w:rPr>
      </w:pPr>
    </w:p>
    <w:tbl>
      <w:tblPr>
        <w:tblStyle w:val="3"/>
        <w:tblW w:w="8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1437"/>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976" w:hRule="atLeast"/>
          <w:jc w:val="center"/>
        </w:trPr>
        <w:tc>
          <w:tcPr>
            <w:tcW w:w="1437"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楷体_GB2312"/>
                <w:bCs/>
                <w:kern w:val="0"/>
                <w:sz w:val="30"/>
                <w:szCs w:val="30"/>
              </w:rPr>
            </w:pPr>
            <w:r>
              <w:rPr>
                <w:rFonts w:hint="eastAsia" w:ascii="Times New Roman" w:hAnsi="Times New Roman" w:eastAsia="楷体_GB2312"/>
                <w:bCs/>
                <w:kern w:val="0"/>
                <w:sz w:val="30"/>
                <w:szCs w:val="30"/>
              </w:rPr>
              <w:t>整改任务</w:t>
            </w:r>
          </w:p>
        </w:tc>
        <w:tc>
          <w:tcPr>
            <w:tcW w:w="7195" w:type="dxa"/>
            <w:tcBorders>
              <w:top w:val="single" w:color="auto" w:sz="4" w:space="0"/>
              <w:left w:val="nil"/>
              <w:bottom w:val="single" w:color="auto" w:sz="4" w:space="0"/>
              <w:right w:val="single" w:color="auto" w:sz="4" w:space="0"/>
            </w:tcBorders>
            <w:noWrap w:val="0"/>
            <w:vAlign w:val="center"/>
          </w:tcPr>
          <w:p>
            <w:pPr>
              <w:overflowPunct w:val="0"/>
              <w:topLinePunct/>
              <w:spacing w:line="400" w:lineRule="exact"/>
              <w:ind w:firstLine="480" w:firstLineChars="200"/>
              <w:rPr>
                <w:rFonts w:ascii="Times New Roman" w:hAnsi="Times New Roman" w:eastAsia="楷体_GB2312"/>
                <w:kern w:val="0"/>
                <w:sz w:val="30"/>
                <w:szCs w:val="30"/>
              </w:rPr>
            </w:pPr>
            <w:r>
              <w:rPr>
                <w:rFonts w:hint="eastAsia" w:ascii="仿宋_GB2312" w:hAnsi="仿宋_GB2312" w:eastAsia="仿宋_GB2312" w:cs="仿宋_GB2312"/>
                <w:sz w:val="24"/>
              </w:rPr>
              <w:t>第二轮中央生态环境保护督察第三项整改任务：根据《四川省黑龙滩生态环境保护试点总体实施方案》，应于2017年年底前建成的53项生态环境保护工程项目，截至督察时仍有8个项目未完成甚至未实施，应建设的4000亩生态涵养林只完成192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80" w:hRule="atLeast"/>
          <w:jc w:val="center"/>
        </w:trPr>
        <w:tc>
          <w:tcPr>
            <w:tcW w:w="1437"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楷体_GB2312"/>
                <w:bCs/>
                <w:kern w:val="0"/>
                <w:sz w:val="30"/>
                <w:szCs w:val="30"/>
              </w:rPr>
            </w:pPr>
            <w:r>
              <w:rPr>
                <w:rFonts w:hint="eastAsia" w:ascii="Times New Roman" w:hAnsi="Times New Roman" w:eastAsia="楷体_GB2312"/>
                <w:bCs/>
                <w:kern w:val="0"/>
                <w:sz w:val="30"/>
                <w:szCs w:val="30"/>
              </w:rPr>
              <w:t>整改责任单位</w:t>
            </w:r>
          </w:p>
        </w:tc>
        <w:tc>
          <w:tcPr>
            <w:tcW w:w="7195" w:type="dxa"/>
            <w:tcBorders>
              <w:top w:val="single" w:color="auto" w:sz="4" w:space="0"/>
              <w:left w:val="nil"/>
              <w:bottom w:val="single" w:color="auto" w:sz="4" w:space="0"/>
              <w:right w:val="single" w:color="auto" w:sz="4" w:space="0"/>
            </w:tcBorders>
            <w:noWrap w:val="0"/>
            <w:vAlign w:val="center"/>
          </w:tcPr>
          <w:p>
            <w:pPr>
              <w:overflowPunct w:val="0"/>
              <w:topLinePunct/>
              <w:spacing w:line="400" w:lineRule="exact"/>
              <w:ind w:firstLine="480" w:firstLineChars="200"/>
              <w:rPr>
                <w:rFonts w:hint="eastAsia" w:ascii="Times New Roman" w:hAnsi="Times New Roman" w:eastAsia="楷体_GB2312"/>
                <w:kern w:val="0"/>
                <w:sz w:val="30"/>
                <w:szCs w:val="30"/>
              </w:rPr>
            </w:pPr>
            <w:r>
              <w:rPr>
                <w:rFonts w:hint="eastAsia" w:ascii="仿宋_GB2312" w:hAnsi="仿宋_GB2312" w:eastAsia="仿宋_GB2312" w:cs="仿宋_GB2312"/>
                <w:sz w:val="24"/>
              </w:rPr>
              <w:t>中共眉山市委、眉山市人民政府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27" w:hRule="atLeast"/>
          <w:jc w:val="center"/>
        </w:trPr>
        <w:tc>
          <w:tcPr>
            <w:tcW w:w="1437"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楷体_GB2312"/>
                <w:bCs/>
                <w:kern w:val="0"/>
                <w:sz w:val="30"/>
                <w:szCs w:val="30"/>
              </w:rPr>
            </w:pPr>
            <w:r>
              <w:rPr>
                <w:rFonts w:hint="eastAsia" w:ascii="Times New Roman" w:hAnsi="Times New Roman" w:eastAsia="楷体_GB2312"/>
                <w:bCs/>
                <w:kern w:val="0"/>
                <w:sz w:val="30"/>
                <w:szCs w:val="30"/>
              </w:rPr>
              <w:t>整改目标</w:t>
            </w:r>
          </w:p>
        </w:tc>
        <w:tc>
          <w:tcPr>
            <w:tcW w:w="7195" w:type="dxa"/>
            <w:tcBorders>
              <w:top w:val="single" w:color="auto" w:sz="4" w:space="0"/>
              <w:left w:val="nil"/>
              <w:bottom w:val="single" w:color="auto" w:sz="4" w:space="0"/>
              <w:right w:val="single" w:color="auto" w:sz="4" w:space="0"/>
            </w:tcBorders>
            <w:noWrap w:val="0"/>
            <w:vAlign w:val="center"/>
          </w:tcPr>
          <w:p>
            <w:pPr>
              <w:overflowPunct w:val="0"/>
              <w:topLinePunct/>
              <w:spacing w:line="400" w:lineRule="exact"/>
              <w:ind w:firstLine="480" w:firstLineChars="200"/>
              <w:rPr>
                <w:rFonts w:ascii="Times New Roman" w:hAnsi="Times New Roman" w:eastAsia="楷体_GB2312"/>
                <w:kern w:val="0"/>
                <w:sz w:val="30"/>
                <w:szCs w:val="30"/>
              </w:rPr>
            </w:pPr>
            <w:r>
              <w:rPr>
                <w:rFonts w:hint="eastAsia" w:ascii="仿宋_GB2312" w:hAnsi="仿宋_GB2312" w:eastAsia="仿宋_GB2312" w:cs="仿宋_GB2312"/>
                <w:sz w:val="24"/>
              </w:rPr>
              <w:t>完成《四川省黑龙滩生态环境保护试点总体实施方案》中未完成、未实施的8个项目建设。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855" w:hRule="atLeast"/>
          <w:jc w:val="center"/>
        </w:trPr>
        <w:tc>
          <w:tcPr>
            <w:tcW w:w="1437"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楷体_GB2312"/>
                <w:bCs/>
                <w:kern w:val="0"/>
                <w:sz w:val="30"/>
                <w:szCs w:val="30"/>
              </w:rPr>
            </w:pPr>
            <w:r>
              <w:rPr>
                <w:rFonts w:hint="eastAsia" w:ascii="Times New Roman" w:hAnsi="Times New Roman" w:eastAsia="楷体_GB2312"/>
                <w:bCs/>
                <w:kern w:val="0"/>
                <w:sz w:val="30"/>
                <w:szCs w:val="30"/>
              </w:rPr>
              <w:t>整改措施</w:t>
            </w:r>
          </w:p>
        </w:tc>
        <w:tc>
          <w:tcPr>
            <w:tcW w:w="7195" w:type="dxa"/>
            <w:tcBorders>
              <w:top w:val="single" w:color="auto" w:sz="4" w:space="0"/>
              <w:left w:val="nil"/>
              <w:bottom w:val="single" w:color="auto" w:sz="4" w:space="0"/>
              <w:right w:val="single" w:color="auto" w:sz="4" w:space="0"/>
            </w:tcBorders>
            <w:noWrap w:val="0"/>
            <w:vAlign w:val="center"/>
          </w:tcPr>
          <w:p>
            <w:pPr>
              <w:overflowPunct w:val="0"/>
              <w:topLinePunct/>
              <w:spacing w:line="40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1.2022年3月底前，完成农业垃圾秸秆压缩站基础设施建设和压缩设备安装、转运车发放工作，全面建成投用；完成2000亩水土流失治理项目竣工验收，并投入使用。</w:t>
            </w:r>
          </w:p>
          <w:p>
            <w:pPr>
              <w:overflowPunct w:val="0"/>
              <w:topLinePunct/>
              <w:spacing w:line="40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2.2022年6月底前，完成黑龙滩水库库区、上游区农村非规模化畜禽养殖户治理项目；完成4000亩生态涵养林种植工作。</w:t>
            </w:r>
          </w:p>
          <w:p>
            <w:pPr>
              <w:overflowPunct w:val="0"/>
              <w:topLinePunct/>
              <w:spacing w:line="40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3.2022年12月底前，完成黑龙滩水库库区燃油客运船舶、工作船舶、渔业船舶清洁能源改造或退出工作。</w:t>
            </w:r>
          </w:p>
          <w:p>
            <w:pPr>
              <w:overflowPunct w:val="0"/>
              <w:topLinePunct/>
              <w:spacing w:line="400" w:lineRule="exact"/>
              <w:ind w:firstLine="480" w:firstLineChars="200"/>
              <w:rPr>
                <w:rFonts w:ascii="Times New Roman" w:hAnsi="Times New Roman" w:eastAsia="楷体_GB2312"/>
                <w:kern w:val="0"/>
                <w:sz w:val="30"/>
                <w:szCs w:val="30"/>
              </w:rPr>
            </w:pPr>
            <w:r>
              <w:rPr>
                <w:rFonts w:hint="eastAsia" w:ascii="仿宋_GB2312" w:hAnsi="仿宋_GB2312" w:eastAsia="仿宋_GB2312" w:cs="仿宋_GB2312"/>
                <w:kern w:val="0"/>
                <w:sz w:val="24"/>
              </w:rPr>
              <w:t>4.2022年12月底前，完成黑龙滩水库入库区域底泥分析论证和黑龙滩水库消落带治理项目论证工作；2023年8月底前，根据论证结果完成项目建设。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855" w:hRule="atLeast"/>
          <w:jc w:val="center"/>
        </w:trPr>
        <w:tc>
          <w:tcPr>
            <w:tcW w:w="1437"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hint="eastAsia" w:ascii="Times New Roman" w:hAnsi="Times New Roman" w:eastAsia="楷体_GB2312"/>
                <w:bCs/>
                <w:kern w:val="0"/>
                <w:sz w:val="30"/>
                <w:szCs w:val="30"/>
                <w:lang w:eastAsia="zh-CN"/>
              </w:rPr>
            </w:pPr>
            <w:r>
              <w:rPr>
                <w:rFonts w:hint="eastAsia" w:ascii="Times New Roman" w:hAnsi="Times New Roman" w:eastAsia="楷体_GB2312"/>
                <w:bCs/>
                <w:kern w:val="0"/>
                <w:sz w:val="30"/>
                <w:szCs w:val="30"/>
                <w:lang w:eastAsia="zh-CN"/>
              </w:rPr>
              <w:t>整改主要工作及成效</w:t>
            </w:r>
          </w:p>
        </w:tc>
        <w:tc>
          <w:tcPr>
            <w:tcW w:w="7195" w:type="dxa"/>
            <w:tcBorders>
              <w:top w:val="single" w:color="auto" w:sz="4" w:space="0"/>
              <w:left w:val="nil"/>
              <w:bottom w:val="single" w:color="auto" w:sz="4" w:space="0"/>
              <w:right w:val="single" w:color="auto" w:sz="4" w:space="0"/>
            </w:tcBorders>
            <w:noWrap w:val="0"/>
            <w:vAlign w:val="center"/>
          </w:tcPr>
          <w:p>
            <w:pPr>
              <w:overflowPunct w:val="0"/>
              <w:topLinePunct/>
              <w:spacing w:line="400" w:lineRule="exact"/>
              <w:ind w:firstLine="481" w:firstLineChars="200"/>
              <w:rPr>
                <w:rFonts w:hint="eastAsia"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一是</w:t>
            </w:r>
            <w:r>
              <w:rPr>
                <w:rFonts w:hint="eastAsia" w:ascii="仿宋_GB2312" w:hAnsi="仿宋_GB2312" w:eastAsia="仿宋_GB2312" w:cs="仿宋_GB2312"/>
                <w:kern w:val="0"/>
                <w:sz w:val="24"/>
                <w:lang w:eastAsia="zh-CN"/>
              </w:rPr>
              <w:t>2021年12月底，仁寿县黑龙滩水库农业垃圾综合治理工程采购项目完成竣工验收，</w:t>
            </w:r>
            <w:r>
              <w:rPr>
                <w:rFonts w:hint="eastAsia" w:ascii="仿宋_GB2312" w:hAnsi="仿宋_GB2312" w:eastAsia="仿宋_GB2312" w:cs="仿宋_GB2312"/>
                <w:kern w:val="0"/>
                <w:sz w:val="24"/>
                <w:lang w:val="en-US" w:eastAsia="zh-CN"/>
              </w:rPr>
              <w:t>建成的</w:t>
            </w:r>
            <w:r>
              <w:rPr>
                <w:rFonts w:hint="eastAsia" w:ascii="仿宋_GB2312" w:hAnsi="仿宋_GB2312" w:eastAsia="仿宋_GB2312" w:cs="仿宋_GB2312"/>
                <w:kern w:val="0"/>
                <w:sz w:val="24"/>
              </w:rPr>
              <w:t>农业垃圾秸秆压缩站基础设施</w:t>
            </w:r>
            <w:r>
              <w:rPr>
                <w:rFonts w:hint="eastAsia" w:ascii="仿宋_GB2312" w:hAnsi="仿宋_GB2312" w:eastAsia="仿宋_GB2312" w:cs="仿宋_GB2312"/>
                <w:kern w:val="0"/>
                <w:sz w:val="24"/>
                <w:lang w:eastAsia="zh-CN"/>
              </w:rPr>
              <w:t>已交付</w:t>
            </w:r>
            <w:r>
              <w:rPr>
                <w:rFonts w:hint="eastAsia" w:ascii="仿宋_GB2312" w:hAnsi="仿宋_GB2312" w:eastAsia="仿宋_GB2312" w:cs="仿宋_GB2312"/>
                <w:kern w:val="0"/>
                <w:sz w:val="24"/>
              </w:rPr>
              <w:t>黑龙滩镇政府并投入使用。</w:t>
            </w:r>
          </w:p>
          <w:p>
            <w:pPr>
              <w:overflowPunct w:val="0"/>
              <w:topLinePunct/>
              <w:spacing w:line="400" w:lineRule="exact"/>
              <w:ind w:firstLine="481" w:firstLineChars="200"/>
              <w:rPr>
                <w:rFonts w:hint="eastAsia"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二是</w:t>
            </w:r>
            <w:r>
              <w:rPr>
                <w:rFonts w:hint="eastAsia" w:ascii="仿宋_GB2312" w:hAnsi="仿宋_GB2312" w:eastAsia="仿宋_GB2312" w:cs="仿宋_GB2312"/>
                <w:kern w:val="0"/>
                <w:sz w:val="24"/>
              </w:rPr>
              <w:t>2021年10月30日</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仁寿县黑龙滩水库生态环境保护水土保持项目完成建设内容</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治理水土流失面积1.34平方千米（2000亩）</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2021年10月31日，完成项目县级完工验收；2023年4月29日，仁寿县水利局组织完成竣工验收；2023年5月29日，正式将项目资产移交黑龙滩镇政府管理、使用。</w:t>
            </w:r>
          </w:p>
          <w:p>
            <w:pPr>
              <w:overflowPunct w:val="0"/>
              <w:topLinePunct/>
              <w:spacing w:line="400" w:lineRule="exact"/>
              <w:ind w:firstLine="481" w:firstLineChars="200"/>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b/>
                <w:bCs/>
                <w:kern w:val="0"/>
                <w:sz w:val="24"/>
                <w:lang w:eastAsia="zh-CN"/>
              </w:rPr>
              <w:t>三是</w:t>
            </w:r>
            <w:r>
              <w:rPr>
                <w:rFonts w:hint="eastAsia" w:ascii="仿宋_GB2312" w:hAnsi="仿宋_GB2312" w:eastAsia="仿宋_GB2312" w:cs="仿宋_GB2312"/>
                <w:kern w:val="0"/>
                <w:sz w:val="24"/>
              </w:rPr>
              <w:t>2021年12月，完成黑龙滩水库流域非规模化畜禽养殖污染治理项目</w:t>
            </w:r>
            <w:r>
              <w:rPr>
                <w:rFonts w:hint="eastAsia" w:ascii="仿宋_GB2312" w:hAnsi="仿宋_GB2312" w:eastAsia="仿宋_GB2312" w:cs="仿宋_GB2312"/>
                <w:kern w:val="0"/>
                <w:sz w:val="24"/>
                <w:lang w:eastAsia="zh-CN"/>
              </w:rPr>
              <w:t>（黑龙滩水库库区、上游区）</w:t>
            </w:r>
            <w:r>
              <w:rPr>
                <w:rFonts w:hint="eastAsia" w:ascii="仿宋_GB2312" w:hAnsi="仿宋_GB2312" w:eastAsia="仿宋_GB2312" w:cs="仿宋_GB2312"/>
                <w:kern w:val="0"/>
                <w:sz w:val="24"/>
              </w:rPr>
              <w:t>并通过竣工验收</w:t>
            </w:r>
            <w:r>
              <w:rPr>
                <w:rFonts w:hint="eastAsia" w:ascii="仿宋_GB2312" w:hAnsi="仿宋_GB2312" w:eastAsia="仿宋_GB2312" w:cs="仿宋_GB2312"/>
                <w:kern w:val="0"/>
                <w:sz w:val="24"/>
                <w:lang w:eastAsia="zh-CN"/>
              </w:rPr>
              <w:t>，总计在</w:t>
            </w:r>
            <w:r>
              <w:rPr>
                <w:rFonts w:hint="eastAsia" w:ascii="仿宋_GB2312" w:hAnsi="仿宋_GB2312" w:eastAsia="仿宋_GB2312" w:cs="仿宋_GB2312"/>
                <w:kern w:val="0"/>
                <w:sz w:val="24"/>
                <w:lang w:val="en-US" w:eastAsia="zh-CN"/>
              </w:rPr>
              <w:t>307户建设畜禽粪污处理设施。</w:t>
            </w:r>
          </w:p>
          <w:p>
            <w:pPr>
              <w:overflowPunct w:val="0"/>
              <w:topLinePunct/>
              <w:spacing w:line="400" w:lineRule="exact"/>
              <w:ind w:firstLine="481" w:firstLineChars="200"/>
              <w:rPr>
                <w:rFonts w:hint="eastAsia" w:ascii="仿宋_GB2312" w:hAnsi="仿宋_GB2312" w:eastAsia="仿宋_GB2312" w:cs="仿宋_GB2312"/>
                <w:kern w:val="0"/>
                <w:sz w:val="24"/>
              </w:rPr>
            </w:pPr>
            <w:r>
              <w:rPr>
                <w:rFonts w:hint="eastAsia" w:ascii="仿宋_GB2312" w:hAnsi="仿宋_GB2312" w:eastAsia="仿宋_GB2312" w:cs="仿宋_GB2312"/>
                <w:b/>
                <w:bCs/>
                <w:kern w:val="0"/>
                <w:sz w:val="24"/>
                <w:lang w:val="en-US" w:eastAsia="zh-CN"/>
              </w:rPr>
              <w:t>四是</w:t>
            </w:r>
            <w:r>
              <w:rPr>
                <w:rFonts w:hint="eastAsia" w:ascii="仿宋_GB2312" w:hAnsi="仿宋_GB2312" w:eastAsia="仿宋_GB2312" w:cs="仿宋_GB2312"/>
                <w:kern w:val="0"/>
                <w:sz w:val="24"/>
              </w:rPr>
              <w:t>2021年12月21日</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黑龙滩饮用水水源地生态涵养林项目通过验收，完成人工造林1700亩、封育补植2333.85亩。</w:t>
            </w:r>
          </w:p>
          <w:p>
            <w:pPr>
              <w:overflowPunct w:val="0"/>
              <w:topLinePunct/>
              <w:spacing w:line="400" w:lineRule="exact"/>
              <w:ind w:firstLine="481" w:firstLineChars="200"/>
              <w:rPr>
                <w:rFonts w:hint="eastAsia" w:ascii="仿宋_GB2312" w:hAnsi="仿宋_GB2312" w:eastAsia="仿宋_GB2312" w:cs="仿宋_GB2312"/>
                <w:kern w:val="0"/>
                <w:sz w:val="24"/>
                <w:lang w:eastAsia="zh-CN"/>
              </w:rPr>
            </w:pPr>
            <w:r>
              <w:rPr>
                <w:rFonts w:hint="eastAsia" w:ascii="仿宋_GB2312" w:hAnsi="仿宋_GB2312" w:eastAsia="仿宋_GB2312" w:cs="仿宋_GB2312"/>
                <w:b/>
                <w:bCs/>
                <w:kern w:val="0"/>
                <w:sz w:val="24"/>
                <w:lang w:eastAsia="zh-CN"/>
              </w:rPr>
              <w:t>五是</w:t>
            </w:r>
            <w:r>
              <w:rPr>
                <w:rFonts w:hint="eastAsia" w:ascii="仿宋_GB2312" w:hAnsi="仿宋_GB2312" w:eastAsia="仿宋_GB2312" w:cs="仿宋_GB2312"/>
                <w:kern w:val="0"/>
                <w:sz w:val="24"/>
              </w:rPr>
              <w:t>2022年12月底</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仁寿县全面完成96艘燃油客运船舶、16艘燃油渔业船舶、13艘燃油工作船舶的上岸退出工作</w:t>
            </w:r>
            <w:r>
              <w:rPr>
                <w:rFonts w:hint="eastAsia" w:ascii="仿宋_GB2312" w:hAnsi="仿宋_GB2312" w:eastAsia="仿宋_GB2312" w:cs="仿宋_GB2312"/>
                <w:kern w:val="0"/>
                <w:sz w:val="24"/>
                <w:lang w:eastAsia="zh-CN"/>
              </w:rPr>
              <w:t>。</w:t>
            </w:r>
          </w:p>
          <w:p>
            <w:pPr>
              <w:overflowPunct w:val="0"/>
              <w:topLinePunct/>
              <w:spacing w:line="400" w:lineRule="exact"/>
              <w:ind w:firstLine="481" w:firstLineChars="200"/>
              <w:rPr>
                <w:rFonts w:hint="eastAsia" w:ascii="仿宋_GB2312" w:hAnsi="仿宋_GB2312" w:eastAsia="仿宋_GB2312" w:cs="仿宋_GB2312"/>
                <w:kern w:val="0"/>
                <w:sz w:val="24"/>
                <w:lang w:eastAsia="zh-CN"/>
              </w:rPr>
            </w:pPr>
            <w:r>
              <w:rPr>
                <w:rFonts w:hint="eastAsia" w:ascii="仿宋_GB2312" w:hAnsi="仿宋_GB2312" w:eastAsia="仿宋_GB2312" w:cs="仿宋_GB2312"/>
                <w:b/>
                <w:bCs/>
                <w:kern w:val="0"/>
                <w:sz w:val="24"/>
                <w:lang w:eastAsia="zh-CN"/>
              </w:rPr>
              <w:t>六是</w:t>
            </w:r>
            <w:r>
              <w:rPr>
                <w:rFonts w:hint="eastAsia" w:ascii="仿宋_GB2312" w:hAnsi="仿宋_GB2312" w:eastAsia="仿宋_GB2312" w:cs="仿宋_GB2312"/>
                <w:kern w:val="0"/>
                <w:sz w:val="24"/>
              </w:rPr>
              <w:t>编制《眉山市黑龙滩水库入库区域底泥分析论证报告》</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根据论证结果，定期开展水库入库口底泥和水质跟踪检测，结果显示无异常</w:t>
            </w:r>
            <w:r>
              <w:rPr>
                <w:rFonts w:hint="eastAsia" w:ascii="仿宋_GB2312" w:hAnsi="仿宋_GB2312" w:eastAsia="仿宋_GB2312" w:cs="仿宋_GB2312"/>
                <w:kern w:val="0"/>
                <w:sz w:val="24"/>
                <w:lang w:eastAsia="zh-CN"/>
              </w:rPr>
              <w:t>。</w:t>
            </w:r>
          </w:p>
          <w:p>
            <w:pPr>
              <w:overflowPunct w:val="0"/>
              <w:topLinePunct/>
              <w:spacing w:line="400" w:lineRule="exact"/>
              <w:ind w:firstLine="481" w:firstLineChars="200"/>
              <w:rPr>
                <w:rFonts w:hint="eastAsia"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七是</w:t>
            </w:r>
            <w:r>
              <w:rPr>
                <w:rFonts w:hint="eastAsia" w:ascii="仿宋_GB2312" w:hAnsi="仿宋_GB2312" w:eastAsia="仿宋_GB2312" w:cs="仿宋_GB2312"/>
                <w:kern w:val="0"/>
                <w:sz w:val="24"/>
                <w:lang w:eastAsia="zh-CN"/>
              </w:rPr>
              <w:t>编制</w:t>
            </w:r>
            <w:r>
              <w:rPr>
                <w:rFonts w:hint="eastAsia" w:ascii="仿宋_GB2312" w:hAnsi="仿宋_GB2312" w:eastAsia="仿宋_GB2312" w:cs="仿宋_GB2312"/>
                <w:kern w:val="0"/>
                <w:sz w:val="24"/>
              </w:rPr>
              <w:t>《眉山市黑龙滩水库消落带治理项目论证报告》</w:t>
            </w:r>
            <w:r>
              <w:rPr>
                <w:rFonts w:hint="eastAsia" w:ascii="仿宋_GB2312" w:hAnsi="仿宋_GB2312" w:eastAsia="仿宋_GB2312" w:cs="仿宋_GB2312"/>
                <w:kern w:val="0"/>
                <w:sz w:val="24"/>
                <w:lang w:eastAsia="zh-CN"/>
              </w:rPr>
              <w:t>，细化</w:t>
            </w:r>
            <w:r>
              <w:rPr>
                <w:rFonts w:hint="eastAsia" w:ascii="仿宋_GB2312" w:hAnsi="仿宋_GB2312" w:eastAsia="仿宋_GB2312" w:cs="仿宋_GB2312"/>
                <w:kern w:val="0"/>
                <w:sz w:val="24"/>
              </w:rPr>
              <w:t>制定《黑龙滩水库消落带生态修复工程方案》，完成244.32亩水库消落带生态修复，并于2023年8月完成竣工验收。</w:t>
            </w:r>
          </w:p>
          <w:p>
            <w:pPr>
              <w:overflowPunct w:val="0"/>
              <w:topLinePunct/>
              <w:spacing w:line="40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eastAsia="zh-CN"/>
              </w:rPr>
              <w:t>眉山市通过完成</w:t>
            </w:r>
            <w:r>
              <w:rPr>
                <w:rFonts w:hint="eastAsia" w:ascii="仿宋_GB2312" w:hAnsi="仿宋_GB2312" w:eastAsia="仿宋_GB2312" w:cs="仿宋_GB2312"/>
                <w:kern w:val="0"/>
                <w:sz w:val="24"/>
              </w:rPr>
              <w:t>《四川省黑龙滩生态环境保护试点总体实施方案》中未完成、未实施的8个项目</w:t>
            </w:r>
            <w:r>
              <w:rPr>
                <w:rFonts w:hint="eastAsia" w:ascii="仿宋_GB2312" w:hAnsi="仿宋_GB2312" w:eastAsia="仿宋_GB2312" w:cs="仿宋_GB2312"/>
                <w:kern w:val="0"/>
                <w:sz w:val="24"/>
                <w:lang w:eastAsia="zh-CN"/>
              </w:rPr>
              <w:t>建设，有效提升</w:t>
            </w:r>
            <w:r>
              <w:rPr>
                <w:rFonts w:hint="eastAsia" w:ascii="仿宋_GB2312" w:hAnsi="仿宋_GB2312" w:eastAsia="仿宋_GB2312" w:cs="仿宋_GB2312"/>
                <w:kern w:val="0"/>
                <w:sz w:val="24"/>
              </w:rPr>
              <w:t>黑龙滩水库环境污染防治能力建设</w:t>
            </w:r>
            <w:r>
              <w:rPr>
                <w:rFonts w:hint="eastAsia" w:ascii="仿宋_GB2312" w:hAnsi="仿宋_GB2312" w:eastAsia="仿宋_GB2312" w:cs="仿宋_GB2312"/>
                <w:kern w:val="0"/>
                <w:sz w:val="24"/>
                <w:lang w:eastAsia="zh-CN"/>
              </w:rPr>
              <w:t>，明显加强</w:t>
            </w:r>
            <w:r>
              <w:rPr>
                <w:rFonts w:hint="eastAsia" w:ascii="仿宋_GB2312" w:hAnsi="仿宋_GB2312" w:eastAsia="仿宋_GB2312" w:cs="仿宋_GB2312"/>
                <w:kern w:val="0"/>
                <w:sz w:val="24"/>
              </w:rPr>
              <w:t>黑龙滩水库良好湖泊的生态保护</w:t>
            </w:r>
            <w:r>
              <w:rPr>
                <w:rFonts w:hint="eastAsia" w:ascii="仿宋_GB2312" w:hAnsi="仿宋_GB2312" w:eastAsia="仿宋_GB2312" w:cs="仿宋_GB2312"/>
                <w:kern w:val="0"/>
                <w:sz w:val="24"/>
                <w:lang w:eastAsia="zh-CN"/>
              </w:rPr>
              <w:t>，为饮用水水源地安全打牢坚实基础。</w:t>
            </w:r>
          </w:p>
        </w:tc>
      </w:tr>
    </w:tbl>
    <w:p>
      <w:pPr>
        <w:pStyle w:val="2"/>
        <w:rPr>
          <w:rFonts w:hint="eastAsia"/>
        </w:rPr>
      </w:pPr>
    </w:p>
    <w:p>
      <w:bookmarkStart w:id="0" w:name="_GoBack"/>
      <w:bookmarkEnd w:id="0"/>
    </w:p>
    <w:sectPr>
      <w:pgSz w:w="11906" w:h="16838"/>
      <w:pgMar w:top="2098" w:right="1474" w:bottom="124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FDD29C"/>
    <w:rsid w:val="5DFDD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2025-03-06T16:52:00Z</dcterms:created>
  <dc:creator>XTT</dc:creator>
  <cp:lastModifiedBy>XTT</cp:lastModifiedBy>
  <dcterms:modified xsi:type="dcterms:W3CDTF">2025-03-06T16:52:36Z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FD05EBAA49F2DE523E62C967B06DC098</vt:lpwstr>
  </property>
</Properties>
</file>