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rPr>
          <w:rFonts w:ascii="Times New Roman" w:hAnsi="Times New Roman" w:eastAsia="黑体"/>
          <w:sz w:val="32"/>
        </w:rPr>
      </w:pPr>
      <w:r>
        <w:rPr>
          <w:rFonts w:ascii="Times New Roman" w:hAnsi="Times New Roman" w:eastAsia="黑体"/>
          <w:sz w:val="32"/>
        </w:rPr>
        <w:t>附件</w:t>
      </w:r>
    </w:p>
    <w:p>
      <w:pPr>
        <w:pStyle w:val="2"/>
        <w:overflowPunct w:val="0"/>
        <w:topLinePunct/>
        <w:spacing w:line="300" w:lineRule="exact"/>
        <w:rPr>
          <w:rFonts w:ascii="Times New Roman" w:hAnsi="Times New Roman"/>
        </w:rPr>
      </w:pPr>
    </w:p>
    <w:p>
      <w:pPr>
        <w:overflowPunct w:val="0"/>
        <w:topLinePunct/>
        <w:spacing w:line="600" w:lineRule="exact"/>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第二轮中央生态环境保护督察第六十</w:t>
      </w:r>
      <w:r>
        <w:rPr>
          <w:rFonts w:hint="eastAsia" w:ascii="Times New Roman" w:hAnsi="Times New Roman" w:eastAsia="方正小标宋简体"/>
          <w:sz w:val="44"/>
          <w:szCs w:val="44"/>
          <w:lang w:eastAsia="zh-CN"/>
        </w:rPr>
        <w:t>四</w:t>
      </w:r>
      <w:r>
        <w:rPr>
          <w:rFonts w:hint="eastAsia" w:ascii="Times New Roman" w:hAnsi="Times New Roman" w:eastAsia="方正小标宋简体"/>
          <w:sz w:val="44"/>
          <w:szCs w:val="44"/>
        </w:rPr>
        <w:t>项</w:t>
      </w:r>
    </w:p>
    <w:p>
      <w:pPr>
        <w:overflowPunct w:val="0"/>
        <w:topLinePunct/>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整改任务完成情况表</w:t>
      </w:r>
    </w:p>
    <w:bookmarkEnd w:id="0"/>
    <w:p>
      <w:pPr>
        <w:overflowPunct w:val="0"/>
        <w:topLinePunct/>
        <w:spacing w:line="300" w:lineRule="exact"/>
        <w:jc w:val="center"/>
        <w:rPr>
          <w:rFonts w:ascii="Times New Roman" w:hAnsi="Times New Roman" w:eastAsia="仿宋_GB2312"/>
          <w:sz w:val="32"/>
          <w:szCs w:val="32"/>
        </w:rPr>
      </w:pPr>
    </w:p>
    <w:tbl>
      <w:tblPr>
        <w:tblStyle w:val="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40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64"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整改任务</w:t>
            </w:r>
          </w:p>
        </w:tc>
        <w:tc>
          <w:tcPr>
            <w:tcW w:w="6419" w:type="dxa"/>
            <w:tcBorders>
              <w:top w:val="single" w:color="auto" w:sz="4" w:space="0"/>
              <w:left w:val="nil"/>
              <w:bottom w:val="single" w:color="auto" w:sz="4" w:space="0"/>
              <w:right w:val="single" w:color="auto" w:sz="4" w:space="0"/>
            </w:tcBorders>
            <w:noWrap w:val="0"/>
            <w:vAlign w:val="top"/>
          </w:tcPr>
          <w:p>
            <w:pPr>
              <w:overflowPunct w:val="0"/>
              <w:topLinePunct/>
              <w:spacing w:line="500" w:lineRule="exact"/>
              <w:rPr>
                <w:rFonts w:ascii="Times New Roman" w:hAnsi="Times New Roman" w:eastAsia="楷体_GB2312"/>
                <w:kern w:val="0"/>
                <w:sz w:val="36"/>
                <w:szCs w:val="36"/>
              </w:rPr>
            </w:pPr>
            <w:r>
              <w:rPr>
                <w:rFonts w:hint="eastAsia" w:ascii="Times New Roman" w:hAnsi="Times New Roman" w:eastAsia="仿宋_GB2312"/>
                <w:sz w:val="28"/>
                <w:szCs w:val="28"/>
              </w:rPr>
              <w:t>第二轮中央生态环境保护督察第六十四项整改任务：自贡市自流井区金子凼堰下大量污水直排、污水处理不足等釜溪河断面治理问题连续两年被国家长江经济带生态环境警示片披露，但整治仍不到位，下游釜溪河碳研所监测断面是2020年全省唯一未达到优良水质的国家地表水考核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8"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整改责任单位</w:t>
            </w:r>
          </w:p>
        </w:tc>
        <w:tc>
          <w:tcPr>
            <w:tcW w:w="6419" w:type="dxa"/>
            <w:tcBorders>
              <w:top w:val="single" w:color="auto" w:sz="4" w:space="0"/>
              <w:left w:val="nil"/>
              <w:bottom w:val="single" w:color="auto" w:sz="4" w:space="0"/>
              <w:right w:val="single" w:color="auto" w:sz="4" w:space="0"/>
            </w:tcBorders>
            <w:noWrap w:val="0"/>
            <w:vAlign w:val="center"/>
          </w:tcPr>
          <w:p>
            <w:pPr>
              <w:overflowPunct w:val="0"/>
              <w:topLinePunct/>
              <w:spacing w:line="500" w:lineRule="exact"/>
              <w:rPr>
                <w:rFonts w:hint="eastAsia" w:ascii="Times New Roman" w:hAnsi="Times New Roman" w:eastAsia="仿宋_GB2312"/>
                <w:kern w:val="0"/>
                <w:sz w:val="36"/>
                <w:szCs w:val="36"/>
                <w:lang w:eastAsia="zh-CN"/>
              </w:rPr>
            </w:pPr>
            <w:r>
              <w:rPr>
                <w:rFonts w:hint="eastAsia" w:ascii="Times New Roman" w:hAnsi="Times New Roman" w:eastAsia="仿宋_GB2312" w:cs="Times New Roman"/>
                <w:sz w:val="28"/>
                <w:szCs w:val="28"/>
              </w:rPr>
              <w:t>自贡市委、市政府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28"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整改目标</w:t>
            </w:r>
          </w:p>
        </w:tc>
        <w:tc>
          <w:tcPr>
            <w:tcW w:w="6419" w:type="dxa"/>
            <w:tcBorders>
              <w:top w:val="single" w:color="auto" w:sz="4" w:space="0"/>
              <w:left w:val="nil"/>
              <w:bottom w:val="single" w:color="auto" w:sz="4" w:space="0"/>
              <w:right w:val="single" w:color="auto" w:sz="4" w:space="0"/>
            </w:tcBorders>
            <w:noWrap w:val="0"/>
            <w:vAlign w:val="center"/>
          </w:tcPr>
          <w:p>
            <w:pPr>
              <w:overflowPunct w:val="0"/>
              <w:topLinePunct/>
              <w:spacing w:line="500" w:lineRule="exact"/>
              <w:rPr>
                <w:rFonts w:ascii="Times New Roman" w:hAnsi="Times New Roman" w:eastAsia="楷体_GB2312"/>
                <w:kern w:val="0"/>
                <w:sz w:val="36"/>
                <w:szCs w:val="36"/>
              </w:rPr>
            </w:pPr>
            <w:r>
              <w:rPr>
                <w:rFonts w:hint="eastAsia" w:ascii="仿宋_GB2312" w:hAnsi="仿宋_GB2312" w:eastAsia="仿宋_GB2312" w:cs="仿宋_GB2312"/>
                <w:spacing w:val="10"/>
                <w:sz w:val="28"/>
                <w:szCs w:val="28"/>
              </w:rPr>
              <w:t>有效解决金子凼堰下污水溢流问题，碳研所断面水质稳定达到地表水Ⅲ类。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736"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整改措施</w:t>
            </w:r>
          </w:p>
        </w:tc>
        <w:tc>
          <w:tcPr>
            <w:tcW w:w="6419" w:type="dxa"/>
            <w:tcBorders>
              <w:top w:val="single" w:color="auto" w:sz="4" w:space="0"/>
              <w:left w:val="nil"/>
              <w:bottom w:val="single" w:color="auto" w:sz="4" w:space="0"/>
              <w:right w:val="single" w:color="auto" w:sz="4" w:space="0"/>
            </w:tcBorders>
            <w:noWrap w:val="0"/>
            <w:vAlign w:val="top"/>
          </w:tcPr>
          <w:p>
            <w:pPr>
              <w:overflowPunct w:val="0"/>
              <w:topLinePunct/>
              <w:spacing w:line="420" w:lineRule="exact"/>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1．2021年12月，已完成7个雨污水管网新建、改建项目13.3公里，其中大安区4个，自流井区2个、高新区1个。</w:t>
            </w:r>
          </w:p>
          <w:p>
            <w:pPr>
              <w:overflowPunct w:val="0"/>
              <w:topLinePunct/>
              <w:spacing w:line="420" w:lineRule="exact"/>
              <w:rPr>
                <w:rFonts w:ascii="Times New Roman" w:hAnsi="Times New Roman" w:eastAsia="楷体_GB2312"/>
                <w:kern w:val="0"/>
                <w:sz w:val="36"/>
                <w:szCs w:val="36"/>
              </w:rPr>
            </w:pPr>
            <w:r>
              <w:rPr>
                <w:rFonts w:hint="eastAsia" w:ascii="Times New Roman" w:hAnsi="Times New Roman" w:eastAsia="仿宋_GB2312" w:cs="仿宋_GB2312"/>
                <w:bCs/>
                <w:kern w:val="0"/>
                <w:sz w:val="28"/>
                <w:szCs w:val="28"/>
              </w:rPr>
              <w:t>2．2022年12月底前，完成9个雨污水管网新建、改建项目11.4公里，其中高新区7个，大安区、沿滩区各1个。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005"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整改主要工作</w:t>
            </w:r>
          </w:p>
          <w:p>
            <w:pPr>
              <w:overflowPunct w:val="0"/>
              <w:topLinePunct/>
              <w:spacing w:line="500" w:lineRule="exact"/>
              <w:jc w:val="center"/>
              <w:rPr>
                <w:rFonts w:ascii="Times New Roman" w:hAnsi="Times New Roman" w:eastAsia="黑体"/>
                <w:kern w:val="0"/>
                <w:sz w:val="32"/>
                <w:szCs w:val="32"/>
              </w:rPr>
            </w:pPr>
            <w:r>
              <w:rPr>
                <w:rFonts w:ascii="Times New Roman" w:hAnsi="Times New Roman" w:eastAsia="黑体"/>
                <w:kern w:val="0"/>
                <w:sz w:val="32"/>
                <w:szCs w:val="32"/>
              </w:rPr>
              <w:t>及成效</w:t>
            </w:r>
          </w:p>
        </w:tc>
        <w:tc>
          <w:tcPr>
            <w:tcW w:w="6419" w:type="dxa"/>
            <w:tcBorders>
              <w:top w:val="single" w:color="auto" w:sz="4" w:space="0"/>
              <w:left w:val="nil"/>
              <w:bottom w:val="single" w:color="auto" w:sz="4" w:space="0"/>
              <w:right w:val="single" w:color="auto" w:sz="4" w:space="0"/>
            </w:tcBorders>
            <w:noWrap w:val="0"/>
            <w:vAlign w:val="top"/>
          </w:tcPr>
          <w:p>
            <w:pPr>
              <w:overflowPunct w:val="0"/>
              <w:topLinePunct/>
              <w:spacing w:line="420" w:lineRule="exact"/>
              <w:rPr>
                <w:rFonts w:hint="eastAsia" w:ascii="Times New Roman" w:hAnsi="Times New Roman" w:eastAsia="仿宋_GB2312" w:cs="仿宋_GB2312"/>
                <w:bCs/>
                <w:kern w:val="0"/>
                <w:sz w:val="28"/>
                <w:szCs w:val="28"/>
              </w:rPr>
            </w:pPr>
            <w:r>
              <w:rPr>
                <w:rFonts w:hint="eastAsia" w:ascii="Times New Roman" w:hAnsi="Times New Roman" w:eastAsia="仿宋_GB2312" w:cs="仿宋_GB2312"/>
                <w:bCs/>
                <w:kern w:val="0"/>
                <w:sz w:val="28"/>
                <w:szCs w:val="28"/>
              </w:rPr>
              <w:t>1.大安区已完成沙鱼坝片区污水干管1.436公里及配套污水收集支管化粪池、污水提升泵站建设项目，凤凰坝1号排口新建0.16公里污水管道及配套截流井建设项目，大安区凤凰坝2号排口新建1.2公里污水管道及配套截流井建设项目，大安区高硐改建污水管道0.795公里及配套检查井、截流井建设项目；自流井区已完成城区污水管网新改建5.2公里，荣光苑、盐都花园和山水名苑3个小区新建污水管网2.6公里；高新区已完成龙汇街南延线至大件路干道一期新建雨水管网2.34公里和龙城国际小区段改造管道0.461公里建设项目。7个项目合计新、改建雨污管网14.192公里。</w:t>
            </w:r>
          </w:p>
          <w:p>
            <w:pPr>
              <w:overflowPunct w:val="0"/>
              <w:topLinePunct/>
              <w:spacing w:line="420" w:lineRule="exact"/>
              <w:rPr>
                <w:rFonts w:ascii="Times New Roman" w:hAnsi="Times New Roman" w:eastAsia="楷体_GB2312"/>
                <w:kern w:val="0"/>
                <w:sz w:val="36"/>
                <w:szCs w:val="36"/>
              </w:rPr>
            </w:pPr>
            <w:r>
              <w:rPr>
                <w:rFonts w:hint="eastAsia" w:ascii="Times New Roman" w:hAnsi="Times New Roman" w:eastAsia="仿宋_GB2312" w:cs="仿宋_GB2312"/>
                <w:bCs/>
                <w:kern w:val="0"/>
                <w:sz w:val="28"/>
                <w:szCs w:val="28"/>
              </w:rPr>
              <w:t>2.大安区已完成凤凰坝基础设施建设项目，新建截污干管0.934公里、雨水主干管1.608公里；沿滩区已完成沿滩新城S206片区雨污分流建设项目，新建截污干管2.5公里；高新区已完成板仓片区玉川路雨污分流建设项目、高新区板仓片区荣川路雨污分流建设项目、高新区板仓片区荣川二支路雨污分流建设项目、高新区板仓片区富川路雨污分流建设项目、高新区板仓片区富川一支路雨污分流建设项目、高新区板仓片区富川二支路雨污分流建设项目和城市排水防涝工程项目金苹果幼儿园段管道改造共7个项目，新、改建雨水管网和污水管网共6.57公里。9个项目合计新、改建雨污管网11.612公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DF2D8"/>
    <w:rsid w:val="BDFDF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2025-04-11T09:46:00Z</dcterms:created>
  <dc:creator>user</dc:creator>
  <cp:lastModifiedBy>user</cp:lastModifiedBy>
  <dcterms:modified xsi:type="dcterms:W3CDTF">2025-04-11T09:47:23Z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BC24EB85798BAD876974F86754F2226D</vt:lpwstr>
  </property>
</Properties>
</file>