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280" w:lineRule="exact"/>
        <w:jc w:val="both"/>
        <w:rPr>
          <w:rFonts w:eastAsia="方正小标宋简体"/>
          <w:sz w:val="44"/>
          <w:szCs w:val="44"/>
        </w:rPr>
      </w:pPr>
    </w:p>
    <w:p>
      <w:pPr>
        <w:overflowPunct w:val="0"/>
        <w:topLinePunct/>
        <w:spacing w:line="520" w:lineRule="exact"/>
        <w:rPr>
          <w:rFonts w:eastAsia="黑体"/>
          <w:bCs/>
          <w:sz w:val="32"/>
          <w:szCs w:val="32"/>
        </w:rPr>
      </w:pPr>
      <w:r>
        <w:rPr>
          <w:rFonts w:hint="eastAsia" w:eastAsia="黑体"/>
          <w:bCs/>
          <w:sz w:val="32"/>
          <w:szCs w:val="32"/>
        </w:rPr>
        <w:t>附件</w:t>
      </w:r>
    </w:p>
    <w:p>
      <w:pPr>
        <w:overflowPunct w:val="0"/>
        <w:topLinePunct/>
        <w:spacing w:line="520" w:lineRule="exact"/>
        <w:rPr>
          <w:b/>
          <w:bCs/>
          <w:sz w:val="30"/>
          <w:szCs w:val="30"/>
        </w:rPr>
      </w:pPr>
    </w:p>
    <w:p>
      <w:pPr>
        <w:overflowPunct w:val="0"/>
        <w:topLinePunct/>
        <w:spacing w:line="520" w:lineRule="exact"/>
        <w:jc w:val="center"/>
        <w:rPr>
          <w:rFonts w:eastAsia="方正小标宋简体"/>
          <w:bCs/>
          <w:sz w:val="44"/>
          <w:szCs w:val="44"/>
        </w:rPr>
      </w:pPr>
      <w:bookmarkStart w:id="0" w:name="_GoBack"/>
      <w:r>
        <w:rPr>
          <w:rFonts w:hint="eastAsia" w:eastAsia="方正小标宋简体"/>
          <w:bCs/>
          <w:sz w:val="44"/>
          <w:szCs w:val="44"/>
        </w:rPr>
        <w:t>四川省突发环境事件应急预案备案行业名录（试行）</w:t>
      </w:r>
    </w:p>
    <w:bookmarkEnd w:id="0"/>
    <w:p>
      <w:pPr>
        <w:overflowPunct w:val="0"/>
        <w:topLinePunct/>
        <w:spacing w:line="520" w:lineRule="exact"/>
        <w:ind w:firstLine="643" w:firstLineChars="200"/>
        <w:rPr>
          <w:rStyle w:val="14"/>
          <w:rFonts w:eastAsia="仿宋_GB2312"/>
          <w:b/>
          <w:bCs/>
          <w:sz w:val="32"/>
        </w:rPr>
      </w:pPr>
    </w:p>
    <w:p>
      <w:pPr>
        <w:overflowPunct w:val="0"/>
        <w:topLinePunct/>
        <w:spacing w:line="520" w:lineRule="exact"/>
        <w:ind w:firstLine="643" w:firstLineChars="200"/>
        <w:rPr>
          <w:rStyle w:val="14"/>
          <w:rFonts w:eastAsia="仿宋_GB2312"/>
          <w:sz w:val="32"/>
        </w:rPr>
      </w:pPr>
      <w:r>
        <w:rPr>
          <w:rStyle w:val="14"/>
          <w:rFonts w:hint="eastAsia" w:eastAsia="仿宋_GB2312"/>
          <w:b/>
          <w:bCs/>
          <w:sz w:val="32"/>
        </w:rPr>
        <w:t xml:space="preserve">第一条 </w:t>
      </w:r>
      <w:r>
        <w:rPr>
          <w:rStyle w:val="14"/>
          <w:rFonts w:hint="eastAsia" w:eastAsia="仿宋_GB2312"/>
          <w:sz w:val="32"/>
        </w:rPr>
        <w:t>为</w:t>
      </w:r>
      <w:r>
        <w:rPr>
          <w:rStyle w:val="14"/>
          <w:rFonts w:hint="eastAsia" w:eastAsia="仿宋_GB2312"/>
          <w:kern w:val="0"/>
          <w:sz w:val="32"/>
          <w:szCs w:val="32"/>
        </w:rPr>
        <w:t>规范企业事业单位的预案备案管理，加强企业事业单位从源头防范环境风险</w:t>
      </w:r>
      <w:r>
        <w:rPr>
          <w:rStyle w:val="14"/>
          <w:rFonts w:hint="eastAsia" w:eastAsia="仿宋_GB2312"/>
          <w:sz w:val="32"/>
        </w:rPr>
        <w:t>，根据</w:t>
      </w:r>
      <w:r>
        <w:rPr>
          <w:rStyle w:val="14"/>
          <w:rFonts w:hint="eastAsia" w:eastAsia="仿宋_GB2312"/>
          <w:sz w:val="32"/>
          <w:szCs w:val="32"/>
        </w:rPr>
        <w:t>《中华人民共和国环境保护法》、《中华人民共和国突发事件应对法》、《突发环境事件应急管理办法》和《企业事业单位突发环境事件应急预案备案管理办法（试行）》</w:t>
      </w:r>
      <w:r>
        <w:rPr>
          <w:rStyle w:val="14"/>
          <w:rFonts w:hint="eastAsia" w:eastAsia="仿宋_GB2312"/>
          <w:sz w:val="32"/>
        </w:rPr>
        <w:t>的相关规定，特制定本名录。</w:t>
      </w:r>
    </w:p>
    <w:p>
      <w:pPr>
        <w:overflowPunct w:val="0"/>
        <w:topLinePunct/>
        <w:spacing w:line="520" w:lineRule="exact"/>
        <w:ind w:firstLine="643" w:firstLineChars="200"/>
        <w:rPr>
          <w:rStyle w:val="14"/>
          <w:rFonts w:eastAsia="仿宋_GB2312"/>
          <w:sz w:val="32"/>
          <w:szCs w:val="32"/>
        </w:rPr>
      </w:pPr>
      <w:r>
        <w:rPr>
          <w:rStyle w:val="14"/>
          <w:rFonts w:hint="eastAsia" w:eastAsia="仿宋_GB2312"/>
          <w:b/>
          <w:bCs/>
          <w:sz w:val="32"/>
        </w:rPr>
        <w:t xml:space="preserve">第二条 </w:t>
      </w:r>
      <w:r>
        <w:rPr>
          <w:rStyle w:val="14"/>
          <w:rFonts w:hint="eastAsia" w:eastAsia="仿宋_GB2312"/>
          <w:sz w:val="32"/>
          <w:szCs w:val="32"/>
        </w:rPr>
        <w:t>本名录所称突发环境事件应急预案，是指企业事业单位为了在应对各类事故、自然灾害时，采取紧急措施，避免或最大程度减少污染物或其他有毒有害物质进入厂界外大气、水体、土壤等环境介质，而预先制定的工作方案。</w:t>
      </w:r>
    </w:p>
    <w:p>
      <w:pPr>
        <w:overflowPunct w:val="0"/>
        <w:topLinePunct/>
        <w:spacing w:line="520" w:lineRule="exact"/>
        <w:ind w:firstLine="643" w:firstLineChars="200"/>
        <w:rPr>
          <w:rStyle w:val="14"/>
          <w:rFonts w:eastAsia="仿宋_GB2312"/>
          <w:sz w:val="32"/>
        </w:rPr>
      </w:pPr>
      <w:r>
        <w:rPr>
          <w:rStyle w:val="14"/>
          <w:rFonts w:hint="eastAsia" w:eastAsia="仿宋_GB2312"/>
          <w:b/>
          <w:bCs/>
          <w:sz w:val="32"/>
          <w:szCs w:val="32"/>
        </w:rPr>
        <w:t xml:space="preserve">第三条 </w:t>
      </w:r>
      <w:r>
        <w:rPr>
          <w:rStyle w:val="14"/>
          <w:rFonts w:hint="eastAsia" w:eastAsia="仿宋_GB2312"/>
          <w:sz w:val="32"/>
        </w:rPr>
        <w:t>纳入本名录的企业事业单位应当制定符合自身实际的突发环境事件应急预案，并按照《企业事业单位突发环境事件应急预案备案管理办法（试行）》要求，向所在地县级生态环境主管部门备案。四川省生态环境厅负责全省突发环境事件应急预案备案工作的统一监督管理。</w:t>
      </w:r>
    </w:p>
    <w:p>
      <w:pPr>
        <w:overflowPunct w:val="0"/>
        <w:topLinePunct/>
        <w:spacing w:line="520" w:lineRule="exact"/>
        <w:ind w:firstLine="643" w:firstLineChars="200"/>
        <w:rPr>
          <w:rStyle w:val="14"/>
          <w:rFonts w:eastAsia="仿宋_GB2312"/>
          <w:sz w:val="32"/>
        </w:rPr>
      </w:pPr>
      <w:r>
        <w:rPr>
          <w:rStyle w:val="14"/>
          <w:rFonts w:hint="eastAsia" w:eastAsia="仿宋_GB2312"/>
          <w:b/>
          <w:bCs/>
          <w:sz w:val="32"/>
        </w:rPr>
        <w:t xml:space="preserve">第四条 </w:t>
      </w:r>
      <w:r>
        <w:rPr>
          <w:rStyle w:val="14"/>
          <w:rFonts w:hint="eastAsia" w:eastAsia="仿宋_GB2312"/>
          <w:sz w:val="32"/>
        </w:rPr>
        <w:t>未纳入本名录的企业</w:t>
      </w:r>
      <w:r>
        <w:rPr>
          <w:rStyle w:val="14"/>
          <w:rFonts w:hint="eastAsia" w:eastAsia="仿宋_GB2312"/>
          <w:kern w:val="0"/>
          <w:sz w:val="32"/>
          <w:szCs w:val="32"/>
        </w:rPr>
        <w:t>事业单位</w:t>
      </w:r>
      <w:r>
        <w:rPr>
          <w:rStyle w:val="14"/>
          <w:rFonts w:hint="eastAsia" w:eastAsia="仿宋_GB2312"/>
          <w:sz w:val="32"/>
          <w:szCs w:val="32"/>
        </w:rPr>
        <w:t>，鼓励其制定突发环境事件应急预案，或在突发事件应急预案中制定突发环境事件应急预案专章，并备案。</w:t>
      </w:r>
    </w:p>
    <w:p>
      <w:pPr>
        <w:overflowPunct w:val="0"/>
        <w:topLinePunct/>
        <w:spacing w:line="520" w:lineRule="exact"/>
        <w:ind w:firstLine="643" w:firstLineChars="200"/>
        <w:rPr>
          <w:rStyle w:val="14"/>
          <w:rFonts w:eastAsia="仿宋_GB2312"/>
          <w:sz w:val="32"/>
        </w:rPr>
      </w:pPr>
      <w:r>
        <w:rPr>
          <w:rStyle w:val="14"/>
          <w:rFonts w:hint="eastAsia" w:eastAsia="仿宋_GB2312"/>
          <w:b/>
          <w:bCs/>
          <w:sz w:val="32"/>
        </w:rPr>
        <w:t xml:space="preserve">第五条 </w:t>
      </w:r>
      <w:r>
        <w:rPr>
          <w:rStyle w:val="14"/>
          <w:rFonts w:hint="eastAsia" w:eastAsia="仿宋_GB2312"/>
          <w:sz w:val="32"/>
        </w:rPr>
        <w:t>核与辐射相关行业未纳入本名录。</w:t>
      </w:r>
    </w:p>
    <w:p>
      <w:pPr>
        <w:overflowPunct w:val="0"/>
        <w:topLinePunct/>
        <w:spacing w:line="520" w:lineRule="exact"/>
        <w:ind w:firstLine="643" w:firstLineChars="200"/>
        <w:rPr>
          <w:rStyle w:val="14"/>
          <w:rFonts w:eastAsia="仿宋_GB2312"/>
          <w:sz w:val="32"/>
        </w:rPr>
      </w:pPr>
      <w:r>
        <w:rPr>
          <w:rStyle w:val="14"/>
          <w:rFonts w:hint="eastAsia" w:eastAsia="仿宋_GB2312"/>
          <w:b/>
          <w:bCs/>
          <w:sz w:val="32"/>
        </w:rPr>
        <w:t xml:space="preserve">第六条 </w:t>
      </w:r>
      <w:r>
        <w:rPr>
          <w:rStyle w:val="14"/>
          <w:rFonts w:hint="eastAsia" w:eastAsia="仿宋_GB2312"/>
          <w:sz w:val="32"/>
        </w:rPr>
        <w:t>本名录由四川省生态环境厅负责解释，并适时修订。</w:t>
      </w:r>
    </w:p>
    <w:p>
      <w:pPr>
        <w:overflowPunct w:val="0"/>
        <w:topLinePunct/>
        <w:spacing w:line="520" w:lineRule="exact"/>
        <w:ind w:firstLine="643" w:firstLineChars="200"/>
        <w:rPr>
          <w:rFonts w:eastAsia="方正小标宋简体"/>
          <w:bCs/>
          <w:sz w:val="36"/>
          <w:szCs w:val="36"/>
        </w:rPr>
      </w:pPr>
      <w:r>
        <w:rPr>
          <w:rStyle w:val="14"/>
          <w:rFonts w:hint="eastAsia" w:eastAsia="仿宋_GB2312"/>
          <w:b/>
          <w:bCs/>
          <w:sz w:val="32"/>
        </w:rPr>
        <w:t xml:space="preserve">第七条 </w:t>
      </w:r>
      <w:r>
        <w:rPr>
          <w:rStyle w:val="14"/>
          <w:rFonts w:hint="eastAsia" w:eastAsia="仿宋_GB2312"/>
          <w:sz w:val="32"/>
        </w:rPr>
        <w:t>本名录自20</w:t>
      </w:r>
      <w:r>
        <w:rPr>
          <w:rStyle w:val="14"/>
          <w:rFonts w:hint="eastAsia" w:eastAsia="仿宋_GB2312"/>
          <w:sz w:val="32"/>
          <w:lang w:val="en-US" w:eastAsia="zh-CN"/>
        </w:rPr>
        <w:t>XX</w:t>
      </w:r>
      <w:r>
        <w:rPr>
          <w:rStyle w:val="14"/>
          <w:rFonts w:hint="eastAsia" w:eastAsia="仿宋_GB2312"/>
          <w:sz w:val="32"/>
        </w:rPr>
        <w:t>年</w:t>
      </w:r>
      <w:r>
        <w:rPr>
          <w:rStyle w:val="14"/>
          <w:rFonts w:hint="eastAsia" w:eastAsia="仿宋_GB2312"/>
          <w:sz w:val="32"/>
          <w:lang w:val="en-US" w:eastAsia="zh-CN"/>
        </w:rPr>
        <w:t>X</w:t>
      </w:r>
      <w:r>
        <w:rPr>
          <w:rStyle w:val="14"/>
          <w:rFonts w:hint="eastAsia" w:eastAsia="仿宋_GB2312"/>
          <w:sz w:val="32"/>
        </w:rPr>
        <w:t>月</w:t>
      </w:r>
      <w:r>
        <w:rPr>
          <w:rStyle w:val="14"/>
          <w:rFonts w:hint="eastAsia" w:eastAsia="仿宋_GB2312"/>
          <w:sz w:val="32"/>
          <w:lang w:val="en-US" w:eastAsia="zh-CN"/>
        </w:rPr>
        <w:t>X</w:t>
      </w:r>
      <w:r>
        <w:rPr>
          <w:rStyle w:val="14"/>
          <w:rFonts w:hint="eastAsia" w:eastAsia="仿宋_GB2312"/>
          <w:sz w:val="32"/>
        </w:rPr>
        <w:t>日起施行。</w:t>
      </w:r>
    </w:p>
    <w:p>
      <w:r>
        <w:br w:type="page"/>
      </w:r>
    </w:p>
    <w:tbl>
      <w:tblPr>
        <w:tblStyle w:val="5"/>
        <w:tblW w:w="8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1379"/>
        <w:gridCol w:w="3470"/>
        <w:gridCol w:w="3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tblHeader/>
          <w:jc w:val="center"/>
        </w:trPr>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黑体"/>
                <w:color w:val="000000"/>
                <w:sz w:val="24"/>
              </w:rPr>
            </w:pPr>
            <w:r>
              <w:rPr>
                <w:rFonts w:eastAsia="方正小标宋简体"/>
                <w:bCs/>
                <w:sz w:val="36"/>
                <w:szCs w:val="36"/>
              </w:rPr>
              <w:br w:type="page"/>
            </w:r>
            <w:r>
              <w:rPr>
                <w:rStyle w:val="14"/>
                <w:rFonts w:eastAsia="黑体"/>
                <w:color w:val="000000"/>
                <w:sz w:val="24"/>
              </w:rPr>
              <w:t>序号</w:t>
            </w:r>
          </w:p>
        </w:tc>
        <w:tc>
          <w:tcPr>
            <w:tcW w:w="4849" w:type="dxa"/>
            <w:gridSpan w:val="2"/>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黑体"/>
                <w:color w:val="000000"/>
                <w:sz w:val="24"/>
              </w:rPr>
            </w:pPr>
            <w:r>
              <w:rPr>
                <w:rStyle w:val="14"/>
                <w:rFonts w:eastAsia="黑体"/>
                <w:color w:val="000000"/>
                <w:sz w:val="24"/>
              </w:rPr>
              <w:t>类别名称</w:t>
            </w:r>
          </w:p>
        </w:tc>
        <w:tc>
          <w:tcPr>
            <w:tcW w:w="312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黑体"/>
                <w:color w:val="000000"/>
                <w:sz w:val="24"/>
              </w:rPr>
            </w:pPr>
            <w:r>
              <w:rPr>
                <w:rStyle w:val="14"/>
                <w:rFonts w:eastAsia="黑体"/>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tblHeader/>
          <w:jc w:val="center"/>
        </w:trPr>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黑体"/>
                <w:color w:val="000000"/>
                <w:sz w:val="24"/>
              </w:rPr>
            </w:pPr>
            <w:r>
              <w:rPr>
                <w:rStyle w:val="14"/>
                <w:rFonts w:eastAsia="黑体"/>
                <w:color w:val="000000"/>
                <w:sz w:val="24"/>
              </w:rPr>
              <w:t>大类及其对应国民经济行业代码</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黑体"/>
                <w:color w:val="000000"/>
                <w:sz w:val="24"/>
              </w:rPr>
            </w:pPr>
            <w:r>
              <w:rPr>
                <w:rStyle w:val="14"/>
                <w:rFonts w:eastAsia="黑体"/>
                <w:color w:val="000000"/>
                <w:sz w:val="24"/>
              </w:rPr>
              <w:t>小类</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1</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畜牧业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A03</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规模化畜禽养殖场</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年出栏生猪5000头（其他畜禽种类折合猪的养殖规模）及以上；涉及环境敏感区域（一）和（二）的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2</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农副食品</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加工业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C13</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粮食及饲料加工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含发酵工艺的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3</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制糖、糖制品加工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原糖生产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淀粉、淀粉糖</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含发酵工艺的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植物油加工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Fonts w:eastAsia="仿宋_GB2312"/>
                <w:color w:val="000000"/>
                <w:sz w:val="24"/>
              </w:rPr>
              <w:t>含浸出工艺的或者使用有机溶剂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蔬菜加工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Fonts w:eastAsia="仿宋_GB2312"/>
                <w:color w:val="000000"/>
                <w:sz w:val="24"/>
              </w:rPr>
              <w:t>产生浓盐水的腌渍菜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屠宰</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年屠宰生猪10万头、肉牛1万头、肉羊15万只、禽类1000万只及以上；乡镇（含）以上带冻库和使用化学制冷剂的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8</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食品制造业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C14</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调味品、发酵制品制造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含发酵工艺的味精、柠檬酸、赖氨酸制造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9</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酒、饮料</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制造业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C15</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酒精饮料及酒类制造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有发酵工艺的（以水果或水果汁为原料年生产能力1000千升以下的除外）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10</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纺织业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C17</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纺织品制造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有洗毛、染整、脱胶工段的；产生缫丝废水、精炼废水的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11</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纺织服装、</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服饰业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C18</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服装制造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有湿法印花、染色、水洗工艺的；使用有机试剂的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12</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皮革、毛皮、羽毛及其制品和制鞋业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C19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kern w:val="0"/>
                <w:sz w:val="24"/>
              </w:rPr>
              <w:t>皮革、毛皮、羽毛（绒）制品</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制革、毛皮鞣制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13</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制鞋业</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sz w:val="24"/>
              </w:rPr>
            </w:pPr>
            <w:r>
              <w:rPr>
                <w:rStyle w:val="14"/>
                <w:rFonts w:eastAsia="仿宋_GB2312"/>
                <w:color w:val="000000"/>
                <w:sz w:val="24"/>
              </w:rPr>
              <w:t>使用有机溶剂、发泡剂等化学品的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14</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木材加工和木、竹、藤、棕、草制品业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C20</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锯材、木片加工、木制品制造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有电镀或喷漆工艺且年用油性漆量（含稀释剂）10吨及以上的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人造板制造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年产20万立方米及以上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kern w:val="0"/>
                <w:sz w:val="24"/>
              </w:rPr>
              <w:t>竹、藤、棕、草制品制造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有喷漆工艺且年用油性漆量（含稀释剂）10吨及以上的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17</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家具制造业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C21</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家具制造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有电镀或喷漆工艺且年用油性漆量（含稀释剂）10吨及以上的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18</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造纸和</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纸制品业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C22</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kern w:val="0"/>
                <w:sz w:val="24"/>
              </w:rPr>
              <w:t>纸浆、溶解浆、纤维浆等制造；造纸（含废纸造纸）</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19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纸制品制造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有化学处理工艺的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20</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印刷业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C23</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印刷厂</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使用水性油墨的除外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21</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文教、工美</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用品制造</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C24</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工艺品制造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有电镀或喷漆工艺且年用油性漆量（含稀释剂）10吨及以上的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22</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石油加工、</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炼焦业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C25</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原油加工、天然气加工、油母页岩等提炼原油、煤制油、生物制油及其他石油制品</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23</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煤化工（含煤炭液化、气化）</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炼焦、煤炭热解、电石</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25</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化学原料和化学制品制造业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C26</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kern w:val="0"/>
                <w:sz w:val="24"/>
              </w:rPr>
            </w:pPr>
            <w:r>
              <w:rPr>
                <w:rStyle w:val="14"/>
                <w:rFonts w:eastAsia="仿宋_GB2312"/>
                <w:color w:val="000000"/>
                <w:kern w:val="0"/>
                <w:sz w:val="24"/>
              </w:rPr>
              <w:t>基本化学原料制造；农药制造；涂料、染料、颜料、油墨及其类似产品制造；合成材料制造；专用化学品制造；炸药、火工及焰火产品制造；水处理剂等制造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肥料制造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kern w:val="0"/>
                <w:sz w:val="24"/>
              </w:rPr>
              <w:t>化学肥料（除单纯混合和封装外的）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半导体材料</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28</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日用化学品制造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kern w:val="0"/>
                <w:sz w:val="24"/>
              </w:rPr>
              <w:t>除单纯混合和分装外的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29</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医药制造业</w:t>
            </w:r>
          </w:p>
          <w:p>
            <w:pPr>
              <w:overflowPunct w:val="0"/>
              <w:topLinePunct/>
              <w:spacing w:line="376" w:lineRule="exact"/>
              <w:jc w:val="center"/>
              <w:rPr>
                <w:rStyle w:val="14"/>
                <w:rFonts w:eastAsia="仿宋_GB2312"/>
                <w:color w:val="000000"/>
                <w:sz w:val="24"/>
              </w:rPr>
            </w:pPr>
            <w:r>
              <w:rPr>
                <w:rStyle w:val="14"/>
                <w:rFonts w:eastAsia="仿宋_GB2312"/>
                <w:color w:val="000000"/>
                <w:sz w:val="24"/>
              </w:rPr>
              <w:t>C27</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化学药品制造；生物、生化制品制造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r>
              <w:rPr>
                <w:rStyle w:val="14"/>
                <w:rFonts w:eastAsia="仿宋_GB2312"/>
                <w:color w:val="000000"/>
                <w:sz w:val="24"/>
              </w:rPr>
              <w:t>30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kern w:val="0"/>
                <w:sz w:val="24"/>
              </w:rPr>
              <w:t>中成药制造、中药饮片加工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6" w:lineRule="exact"/>
              <w:rPr>
                <w:rStyle w:val="14"/>
                <w:rFonts w:eastAsia="仿宋_GB2312"/>
                <w:color w:val="000000"/>
                <w:sz w:val="24"/>
              </w:rPr>
            </w:pPr>
            <w:r>
              <w:rPr>
                <w:rStyle w:val="14"/>
                <w:rFonts w:eastAsia="仿宋_GB2312"/>
                <w:color w:val="000000"/>
                <w:sz w:val="24"/>
              </w:rPr>
              <w:t>有提炼工艺的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31</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化学纤维</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制造业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C28</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化学纤维制造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除单纯纺丝外的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32</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生物质纤维素乙醇生产</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33</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使用液氨的企业</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34</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橡胶和塑料制品业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C29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轮胎制造（有炼化及硫化工艺的）、再生橡胶制造、橡胶加工、橡胶制品制造及翻新</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塑料制品制造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人造革、发泡胶等涉及有毒原材料的，以再生塑料为原料的，有电镀或喷漆工艺且年用油性漆量（含稀释剂）10吨及以上的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36</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非金属矿物制品业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C30</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水泥制造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玻璃及玻璃制品业</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平板及特种玻璃制造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38</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玻璃纤维</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39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陶瓷制品</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Fonts w:eastAsia="仿宋_GB2312"/>
                <w:color w:val="000000"/>
                <w:sz w:val="24"/>
              </w:rPr>
              <w:t>使用煤气的</w:t>
            </w:r>
            <w:r>
              <w:rPr>
                <w:rStyle w:val="14"/>
                <w:rFonts w:eastAsia="仿宋_GB2312"/>
                <w:color w:val="000000"/>
                <w:sz w:val="24"/>
              </w:rPr>
              <w:t>/有施釉工序的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strike/>
                <w:color w:val="000000"/>
                <w:sz w:val="24"/>
              </w:rPr>
            </w:pPr>
            <w:r>
              <w:rPr>
                <w:rStyle w:val="14"/>
                <w:rFonts w:eastAsia="仿宋_GB2312"/>
                <w:color w:val="000000"/>
                <w:sz w:val="24"/>
              </w:rPr>
              <w:t>耐火材料及其制品</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石棉制品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41</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石墨及其他非金属矿物制品</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含焙烧的石墨、碳素制品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kern w:val="0"/>
                <w:sz w:val="24"/>
              </w:rPr>
              <w:t>42</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Fonts w:eastAsia="仿宋_GB2312"/>
                <w:color w:val="000000"/>
                <w:sz w:val="24"/>
              </w:rPr>
              <w:t>防水建筑材料制造、沥青搅拌站</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指以沥青或类似材料为主要原料制造防水材料的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kern w:val="0"/>
                <w:sz w:val="24"/>
              </w:rPr>
              <w:t>43</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黑色金属冶炼和压延</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加工业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C31</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炼铁、球团、烧结</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炼钢</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kern w:val="0"/>
                <w:sz w:val="24"/>
              </w:rPr>
            </w:pPr>
            <w:r>
              <w:rPr>
                <w:rStyle w:val="14"/>
                <w:rFonts w:eastAsia="仿宋_GB2312"/>
                <w:color w:val="000000"/>
                <w:sz w:val="24"/>
              </w:rPr>
              <w:t>45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黑色金属铸造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年产10万吨及以上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kern w:val="0"/>
                <w:sz w:val="24"/>
              </w:rPr>
            </w:pPr>
            <w:r>
              <w:rPr>
                <w:rStyle w:val="14"/>
                <w:rFonts w:eastAsia="仿宋_GB2312"/>
                <w:color w:val="000000"/>
                <w:sz w:val="24"/>
              </w:rPr>
              <w:t>46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压延加工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黑色金属年产50万吨及以上的冷轧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铁合金制造；锰、铬冶炼</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48</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有色金属冶炼和压延</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加工业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C32</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有色金属冶炼（含再生有色金属冶炼）</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49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有色金属合金制造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50</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金属制品业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C33</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金属制品加工制造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有电镀或喷漆工艺</w:t>
            </w:r>
            <w:r>
              <w:rPr>
                <w:rFonts w:eastAsia="仿宋_GB2312"/>
                <w:color w:val="000000"/>
                <w:sz w:val="24"/>
              </w:rPr>
              <w:t>且年用油性漆量（含稀释剂）10吨及以上的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51</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金属制品表面处理及热处理加工</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52</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通用设备</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制造业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C34</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kern w:val="0"/>
                <w:sz w:val="24"/>
              </w:rPr>
            </w:pPr>
            <w:r>
              <w:rPr>
                <w:rStyle w:val="14"/>
                <w:rFonts w:eastAsia="仿宋_GB2312"/>
                <w:color w:val="000000"/>
                <w:kern w:val="0"/>
                <w:sz w:val="24"/>
              </w:rPr>
              <w:t>通用设备制造及维修</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有电镀或喷漆工艺且年用油性漆量（含稀释剂）10吨及以上的行业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6" w:lineRule="exact"/>
              <w:jc w:val="center"/>
              <w:rPr>
                <w:rStyle w:val="14"/>
                <w:rFonts w:eastAsia="仿宋_GB2312"/>
                <w:color w:val="000000"/>
                <w:sz w:val="24"/>
              </w:rPr>
            </w:pPr>
            <w:r>
              <w:rPr>
                <w:rStyle w:val="14"/>
                <w:rFonts w:eastAsia="仿宋_GB2312"/>
                <w:color w:val="000000"/>
                <w:sz w:val="24"/>
              </w:rPr>
              <w:t>53</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专用设备</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制造业</w:t>
            </w:r>
          </w:p>
          <w:p>
            <w:pPr>
              <w:overflowPunct w:val="0"/>
              <w:topLinePunct/>
              <w:spacing w:line="352" w:lineRule="exact"/>
              <w:jc w:val="center"/>
              <w:rPr>
                <w:rStyle w:val="14"/>
                <w:rFonts w:eastAsia="仿宋_GB2312"/>
                <w:color w:val="000000"/>
                <w:sz w:val="24"/>
              </w:rPr>
            </w:pPr>
            <w:r>
              <w:rPr>
                <w:rStyle w:val="14"/>
                <w:rFonts w:eastAsia="仿宋_GB2312"/>
                <w:color w:val="000000"/>
                <w:sz w:val="24"/>
              </w:rPr>
              <w:t>C35</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kern w:val="0"/>
                <w:sz w:val="24"/>
              </w:rPr>
              <w:t>专用设备制造及维修</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rPr>
                <w:rStyle w:val="14"/>
                <w:rFonts w:eastAsia="仿宋_GB2312"/>
                <w:color w:val="000000"/>
                <w:sz w:val="24"/>
              </w:rPr>
            </w:pPr>
            <w:r>
              <w:rPr>
                <w:rStyle w:val="14"/>
                <w:rFonts w:eastAsia="仿宋_GB2312"/>
                <w:color w:val="000000"/>
                <w:sz w:val="24"/>
              </w:rPr>
              <w:t>有电镀或喷漆工艺且年用油性漆量（含稀释剂）10吨及以上的行业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54</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52" w:lineRule="exact"/>
              <w:jc w:val="center"/>
              <w:rPr>
                <w:rStyle w:val="14"/>
                <w:rFonts w:eastAsia="仿宋_GB2312"/>
                <w:color w:val="000000"/>
                <w:sz w:val="24"/>
              </w:rPr>
            </w:pPr>
            <w:r>
              <w:rPr>
                <w:rStyle w:val="14"/>
                <w:rFonts w:eastAsia="仿宋_GB2312"/>
                <w:color w:val="000000"/>
                <w:sz w:val="24"/>
              </w:rPr>
              <w:t>汽车制造业</w:t>
            </w:r>
          </w:p>
          <w:p>
            <w:pPr>
              <w:overflowPunct w:val="0"/>
              <w:topLinePunct/>
              <w:spacing w:line="352" w:lineRule="exact"/>
              <w:jc w:val="center"/>
              <w:rPr>
                <w:rStyle w:val="14"/>
                <w:rFonts w:eastAsia="仿宋_GB2312"/>
                <w:sz w:val="24"/>
              </w:rPr>
            </w:pPr>
            <w:r>
              <w:rPr>
                <w:rStyle w:val="14"/>
                <w:rFonts w:eastAsia="仿宋_GB2312"/>
                <w:sz w:val="24"/>
              </w:rPr>
              <w:t>C36</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sz w:val="24"/>
              </w:rPr>
              <w:t>汽车制造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sz w:val="24"/>
              </w:rPr>
              <w:t>有电镀或喷漆工艺且年用油性漆量（含稀释剂）10吨及以上的行业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55</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r>
              <w:rPr>
                <w:rStyle w:val="14"/>
                <w:rFonts w:eastAsia="仿宋_GB2312"/>
                <w:color w:val="000000"/>
                <w:sz w:val="24"/>
              </w:rPr>
              <w:t>铁路、船舶、航空航天和其他运输设备制造业</w:t>
            </w:r>
          </w:p>
          <w:p>
            <w:pPr>
              <w:overflowPunct w:val="0"/>
              <w:topLinePunct/>
              <w:spacing w:line="370" w:lineRule="exact"/>
              <w:jc w:val="center"/>
              <w:rPr>
                <w:rStyle w:val="14"/>
                <w:rFonts w:eastAsia="仿宋_GB2312"/>
                <w:color w:val="000000"/>
                <w:sz w:val="24"/>
              </w:rPr>
            </w:pPr>
            <w:r>
              <w:rPr>
                <w:rStyle w:val="14"/>
                <w:rFonts w:eastAsia="仿宋_GB2312"/>
                <w:color w:val="000000"/>
                <w:sz w:val="24"/>
              </w:rPr>
              <w:t>C37</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铁路运输设备制造及修理</w:t>
            </w:r>
          </w:p>
        </w:tc>
        <w:tc>
          <w:tcPr>
            <w:tcW w:w="312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sz w:val="24"/>
              </w:rPr>
              <w:t>有电镀或喷漆工艺且年用油性漆量（含稀释剂）10吨及以上的行业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船舶和相关装置制造及维修</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航空航天器制造</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58</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摩托车制造</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59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自行车制造</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交通器材及其他交通运输设备制造</w:t>
            </w:r>
          </w:p>
        </w:tc>
        <w:tc>
          <w:tcPr>
            <w:tcW w:w="31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61</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kern w:val="0"/>
                <w:sz w:val="24"/>
              </w:rPr>
            </w:pPr>
            <w:r>
              <w:rPr>
                <w:rStyle w:val="14"/>
                <w:rFonts w:eastAsia="仿宋_GB2312"/>
                <w:color w:val="000000"/>
                <w:kern w:val="0"/>
                <w:sz w:val="24"/>
              </w:rPr>
              <w:t>电气机械和器材制造业</w:t>
            </w:r>
          </w:p>
          <w:p>
            <w:pPr>
              <w:overflowPunct w:val="0"/>
              <w:topLinePunct/>
              <w:spacing w:line="370" w:lineRule="exact"/>
              <w:jc w:val="center"/>
              <w:rPr>
                <w:rStyle w:val="14"/>
                <w:rFonts w:eastAsia="仿宋_GB2312"/>
                <w:color w:val="000000"/>
                <w:sz w:val="24"/>
              </w:rPr>
            </w:pPr>
            <w:r>
              <w:rPr>
                <w:rStyle w:val="14"/>
                <w:rFonts w:eastAsia="仿宋_GB2312"/>
                <w:color w:val="000000"/>
                <w:kern w:val="0"/>
                <w:sz w:val="24"/>
              </w:rPr>
              <w:t>C38</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电气机械及器材制造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有电镀或喷漆工艺且年用油性漆量（含稀释剂）10吨及以上的；铅蓄电池制造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62</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sz w:val="24"/>
              </w:rPr>
              <w:t>太阳能电池片</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sz w:val="24"/>
              </w:rPr>
              <w:t>太阳能电池片生产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1"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63</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r>
              <w:rPr>
                <w:rStyle w:val="14"/>
                <w:rFonts w:eastAsia="仿宋_GB2312"/>
                <w:color w:val="000000"/>
                <w:sz w:val="24"/>
              </w:rPr>
              <w:t>计算机、通信和其他电子设备制造业</w:t>
            </w:r>
          </w:p>
          <w:p>
            <w:pPr>
              <w:overflowPunct w:val="0"/>
              <w:topLinePunct/>
              <w:spacing w:line="370" w:lineRule="exact"/>
              <w:jc w:val="center"/>
              <w:rPr>
                <w:rStyle w:val="14"/>
                <w:rFonts w:eastAsia="仿宋_GB2312"/>
                <w:color w:val="000000"/>
                <w:sz w:val="24"/>
              </w:rPr>
            </w:pPr>
            <w:r>
              <w:rPr>
                <w:rStyle w:val="14"/>
                <w:rFonts w:eastAsia="仿宋_GB2312"/>
                <w:color w:val="000000"/>
                <w:sz w:val="24"/>
              </w:rPr>
              <w:t>C39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电子器件制造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Fonts w:eastAsia="仿宋_GB2312"/>
                <w:color w:val="000000"/>
                <w:sz w:val="24"/>
              </w:rPr>
              <w:t>有酸洗或有机溶剂清洗工艺且年用有机溶剂量（含稀释剂）10吨及以上的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电子元件及电子专用材料制造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印刷电路板、</w:t>
            </w:r>
            <w:r>
              <w:rPr>
                <w:rFonts w:eastAsia="仿宋_GB2312"/>
                <w:color w:val="000000"/>
                <w:sz w:val="24"/>
              </w:rPr>
              <w:t>蚀刻液、显影液、剥离液、稀释剂、清洗剂；涉及酸碱处理工序的，以及产生重金属污染物的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65</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jc w:val="center"/>
              <w:rPr>
                <w:rStyle w:val="14"/>
                <w:rFonts w:eastAsia="仿宋_GB2312"/>
                <w:color w:val="000000"/>
                <w:kern w:val="0"/>
                <w:sz w:val="24"/>
              </w:rPr>
            </w:pPr>
            <w:r>
              <w:rPr>
                <w:rStyle w:val="14"/>
                <w:rFonts w:eastAsia="仿宋_GB2312"/>
                <w:color w:val="000000"/>
                <w:kern w:val="0"/>
                <w:sz w:val="24"/>
              </w:rPr>
              <w:t>仪器仪表制造业</w:t>
            </w:r>
          </w:p>
          <w:p>
            <w:pPr>
              <w:overflowPunct w:val="0"/>
              <w:topLinePunct/>
              <w:spacing w:line="370" w:lineRule="exact"/>
              <w:jc w:val="center"/>
              <w:rPr>
                <w:rStyle w:val="14"/>
                <w:rFonts w:eastAsia="仿宋_GB2312"/>
                <w:color w:val="000000"/>
                <w:sz w:val="24"/>
              </w:rPr>
            </w:pPr>
            <w:r>
              <w:rPr>
                <w:rStyle w:val="14"/>
                <w:rFonts w:eastAsia="仿宋_GB2312"/>
                <w:color w:val="000000"/>
                <w:kern w:val="0"/>
                <w:sz w:val="24"/>
              </w:rPr>
              <w:t>C40</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仪器仪表制造</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0" w:lineRule="exact"/>
              <w:rPr>
                <w:rStyle w:val="14"/>
                <w:rFonts w:eastAsia="仿宋_GB2312"/>
                <w:color w:val="000000"/>
                <w:sz w:val="24"/>
              </w:rPr>
            </w:pPr>
            <w:r>
              <w:rPr>
                <w:rStyle w:val="14"/>
                <w:rFonts w:eastAsia="仿宋_GB2312"/>
                <w:color w:val="000000"/>
                <w:kern w:val="0"/>
                <w:sz w:val="24"/>
              </w:rPr>
              <w:t>有电镀或喷漆工艺且年用油性漆量（含稀释剂）10 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66</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r>
              <w:rPr>
                <w:rStyle w:val="14"/>
                <w:rFonts w:eastAsia="仿宋_GB2312"/>
                <w:color w:val="000000"/>
                <w:kern w:val="0"/>
                <w:sz w:val="24"/>
              </w:rPr>
              <w:t>废弃资源综合利用业</w:t>
            </w:r>
          </w:p>
          <w:p>
            <w:pPr>
              <w:overflowPunct w:val="0"/>
              <w:topLinePunct/>
              <w:spacing w:line="380" w:lineRule="exact"/>
              <w:jc w:val="center"/>
              <w:rPr>
                <w:rStyle w:val="14"/>
                <w:rFonts w:eastAsia="仿宋_GB2312"/>
                <w:color w:val="000000"/>
                <w:sz w:val="24"/>
              </w:rPr>
            </w:pPr>
            <w:r>
              <w:rPr>
                <w:rStyle w:val="14"/>
                <w:rFonts w:eastAsia="仿宋_GB2312"/>
                <w:color w:val="000000"/>
                <w:kern w:val="0"/>
                <w:sz w:val="24"/>
              </w:rPr>
              <w:t>C42</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废旧资源（含生物质）拆解、加工、再生利用</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废电子电器产品、废电池、废汽车、废电机、废五金、废塑料（除分拣清洗工艺的）、废油、废船、废轮胎等加工、再生利用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67</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r>
              <w:rPr>
                <w:rStyle w:val="14"/>
                <w:rFonts w:eastAsia="仿宋_GB2312"/>
                <w:color w:val="000000"/>
                <w:kern w:val="0"/>
                <w:sz w:val="24"/>
              </w:rPr>
              <w:t>电力、热力生产和供应业</w:t>
            </w:r>
          </w:p>
          <w:p>
            <w:pPr>
              <w:overflowPunct w:val="0"/>
              <w:topLinePunct/>
              <w:spacing w:line="380" w:lineRule="exact"/>
              <w:jc w:val="center"/>
              <w:rPr>
                <w:rStyle w:val="14"/>
                <w:rFonts w:eastAsia="仿宋_GB2312"/>
                <w:color w:val="000000"/>
                <w:sz w:val="24"/>
              </w:rPr>
            </w:pPr>
            <w:r>
              <w:rPr>
                <w:rStyle w:val="14"/>
                <w:rFonts w:eastAsia="仿宋_GB2312"/>
                <w:color w:val="000000"/>
                <w:kern w:val="0"/>
                <w:sz w:val="24"/>
              </w:rPr>
              <w:t>C44</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火力发电（含热电）</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68</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综合利用发电</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69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水力发电</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生物质发电</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71</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热力生产和供应工程</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72</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r>
              <w:rPr>
                <w:rStyle w:val="14"/>
                <w:rFonts w:eastAsia="仿宋_GB2312"/>
                <w:color w:val="000000"/>
                <w:kern w:val="0"/>
                <w:sz w:val="24"/>
              </w:rPr>
              <w:t>燃气生产和供应业</w:t>
            </w:r>
          </w:p>
          <w:p>
            <w:pPr>
              <w:overflowPunct w:val="0"/>
              <w:topLinePunct/>
              <w:spacing w:line="380" w:lineRule="exact"/>
              <w:jc w:val="center"/>
              <w:rPr>
                <w:rStyle w:val="14"/>
                <w:rFonts w:eastAsia="仿宋_GB2312"/>
                <w:color w:val="000000"/>
                <w:sz w:val="24"/>
              </w:rPr>
            </w:pPr>
            <w:r>
              <w:rPr>
                <w:rStyle w:val="14"/>
                <w:rFonts w:eastAsia="仿宋_GB2312"/>
                <w:color w:val="000000"/>
                <w:kern w:val="0"/>
                <w:sz w:val="24"/>
              </w:rPr>
              <w:t>C45</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煤气生产和供应</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73</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r>
              <w:rPr>
                <w:rStyle w:val="14"/>
                <w:rFonts w:eastAsia="仿宋_GB2312"/>
                <w:color w:val="000000"/>
                <w:kern w:val="0"/>
                <w:sz w:val="24"/>
              </w:rPr>
              <w:t>水的生产和供应业</w:t>
            </w:r>
          </w:p>
          <w:p>
            <w:pPr>
              <w:overflowPunct w:val="0"/>
              <w:topLinePunct/>
              <w:spacing w:line="380" w:lineRule="exact"/>
              <w:jc w:val="center"/>
              <w:rPr>
                <w:rStyle w:val="14"/>
                <w:rFonts w:eastAsia="仿宋_GB2312"/>
                <w:color w:val="000000"/>
                <w:sz w:val="24"/>
              </w:rPr>
            </w:pPr>
            <w:r>
              <w:rPr>
                <w:rStyle w:val="14"/>
                <w:rFonts w:eastAsia="仿宋_GB2312"/>
                <w:color w:val="000000"/>
                <w:kern w:val="0"/>
                <w:sz w:val="24"/>
              </w:rPr>
              <w:t>C46</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strike/>
                <w:color w:val="000000"/>
                <w:kern w:val="0"/>
                <w:sz w:val="24"/>
              </w:rPr>
            </w:pPr>
            <w:r>
              <w:rPr>
                <w:rStyle w:val="14"/>
                <w:rFonts w:eastAsia="仿宋_GB2312"/>
                <w:color w:val="000000"/>
                <w:kern w:val="0"/>
                <w:sz w:val="24"/>
              </w:rPr>
              <w:t>自来水生产和供应工程</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生活污水集中处理</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Fonts w:eastAsia="仿宋_GB2312"/>
                <w:color w:val="000000"/>
                <w:kern w:val="0"/>
                <w:sz w:val="24"/>
                <w:szCs w:val="21"/>
              </w:rPr>
              <w:t>日处理能力2万吨及以上的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75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kern w:val="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工业废水处理</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76</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sz w:val="24"/>
              </w:rPr>
            </w:pPr>
            <w:r>
              <w:rPr>
                <w:rStyle w:val="14"/>
                <w:rFonts w:eastAsia="仿宋_GB2312"/>
                <w:color w:val="000000"/>
                <w:sz w:val="24"/>
              </w:rPr>
              <w:t>环境治理业</w:t>
            </w:r>
          </w:p>
          <w:p>
            <w:pPr>
              <w:overflowPunct w:val="0"/>
              <w:topLinePunct/>
              <w:spacing w:line="380" w:lineRule="exact"/>
              <w:jc w:val="center"/>
              <w:rPr>
                <w:rStyle w:val="14"/>
                <w:rFonts w:eastAsia="仿宋_GB2312"/>
                <w:color w:val="000000"/>
                <w:sz w:val="24"/>
              </w:rPr>
            </w:pPr>
            <w:r>
              <w:rPr>
                <w:rStyle w:val="14"/>
                <w:rFonts w:eastAsia="仿宋_GB2312"/>
                <w:color w:val="000000"/>
                <w:sz w:val="24"/>
              </w:rPr>
              <w:t>N77</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危险废物（含医疗废物）</w:t>
            </w:r>
            <w:r>
              <w:rPr>
                <w:rStyle w:val="14"/>
                <w:rFonts w:eastAsia="仿宋_GB2312"/>
                <w:color w:val="000000"/>
                <w:sz w:val="24"/>
              </w:rPr>
              <w:t>产生、收集、贮存、运输、</w:t>
            </w:r>
            <w:r>
              <w:rPr>
                <w:rStyle w:val="14"/>
                <w:rFonts w:eastAsia="仿宋_GB2312"/>
                <w:color w:val="000000"/>
                <w:kern w:val="0"/>
                <w:sz w:val="24"/>
              </w:rPr>
              <w:t>利用及处置</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77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一般工业固体废物（含污泥）处置及综合利用</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78</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公共设施</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管理业</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N78</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kern w:val="0"/>
                <w:sz w:val="24"/>
              </w:rPr>
            </w:pPr>
            <w:r>
              <w:rPr>
                <w:rStyle w:val="14"/>
                <w:rFonts w:eastAsia="仿宋_GB2312"/>
                <w:color w:val="000000"/>
                <w:kern w:val="0"/>
                <w:sz w:val="24"/>
              </w:rPr>
              <w:t>城镇生活垃圾（含餐厨废弃物）集中处置</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79</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r>
              <w:rPr>
                <w:rStyle w:val="14"/>
                <w:rFonts w:eastAsia="仿宋_GB2312"/>
                <w:color w:val="000000"/>
                <w:sz w:val="24"/>
              </w:rPr>
              <w:t>研究和试验发展</w:t>
            </w:r>
          </w:p>
          <w:p>
            <w:pPr>
              <w:overflowPunct w:val="0"/>
              <w:topLinePunct/>
              <w:spacing w:line="400" w:lineRule="exact"/>
              <w:jc w:val="center"/>
              <w:rPr>
                <w:rStyle w:val="14"/>
                <w:rFonts w:eastAsia="仿宋_GB2312"/>
                <w:color w:val="000000"/>
                <w:sz w:val="24"/>
              </w:rPr>
            </w:pPr>
            <w:r>
              <w:rPr>
                <w:rStyle w:val="14"/>
                <w:rFonts w:eastAsia="仿宋_GB2312"/>
                <w:color w:val="000000"/>
                <w:sz w:val="24"/>
              </w:rPr>
              <w:t>M73</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kern w:val="0"/>
                <w:sz w:val="24"/>
              </w:rPr>
            </w:pPr>
            <w:r>
              <w:rPr>
                <w:rStyle w:val="14"/>
                <w:rFonts w:eastAsia="仿宋_GB2312"/>
                <w:color w:val="000000"/>
                <w:kern w:val="0"/>
                <w:sz w:val="24"/>
              </w:rPr>
              <w:t>专业实验室</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P3、P4生物安全实验室；转基因实验室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kern w:val="0"/>
                <w:sz w:val="24"/>
              </w:rPr>
            </w:pPr>
            <w:r>
              <w:rPr>
                <w:rStyle w:val="14"/>
                <w:rFonts w:eastAsia="仿宋_GB2312"/>
                <w:color w:val="000000"/>
                <w:kern w:val="0"/>
                <w:sz w:val="24"/>
              </w:rPr>
              <w:t>研发基地</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sz w:val="24"/>
              </w:rPr>
            </w:pPr>
            <w:r>
              <w:rPr>
                <w:rStyle w:val="14"/>
                <w:rFonts w:eastAsia="仿宋_GB2312"/>
                <w:color w:val="000000"/>
                <w:kern w:val="0"/>
                <w:sz w:val="24"/>
              </w:rPr>
              <w:t>含医药、化工类等专业中试内容的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81</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400" w:lineRule="exact"/>
              <w:rPr>
                <w:rStyle w:val="14"/>
                <w:rFonts w:eastAsia="仿宋_GB2312"/>
                <w:color w:val="000000"/>
                <w:kern w:val="0"/>
                <w:sz w:val="24"/>
              </w:rPr>
            </w:pPr>
            <w:r>
              <w:rPr>
                <w:rStyle w:val="14"/>
                <w:rFonts w:eastAsia="仿宋_GB2312"/>
                <w:color w:val="000000"/>
                <w:kern w:val="0"/>
                <w:sz w:val="24"/>
              </w:rPr>
              <w:t>具有试验、分析、检测等功能的化学、医药、生物类省级重点以上实验室</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8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82</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卫生</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Q84</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二级以上医院</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污染物排放行为引起社会广泛关注；发生突发环境事件可能对环境敏感区域（一）和（二）造成较大影响的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83</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社会事业与服务业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O80/82</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加油站、加气站</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胶片洗印厂</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85</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煤炭开采和洗选业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B06</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煤炭开采</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86</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煤炭洗选、配煤</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87</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型煤、水煤浆生产</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88</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石油和天然气开采业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B07</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石油、页岩油开采</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89</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天然气、页岩气、砂岩气开采（含净化、液化）</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90</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煤层气开采（含净化、液化）</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91</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黑色金属矿采选业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B08</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黑色金属矿采选</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含单独尾矿库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92</w:t>
            </w:r>
          </w:p>
        </w:tc>
        <w:tc>
          <w:tcPr>
            <w:tcW w:w="137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有色金属矿采选业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B09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有色金属矿采选</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含单独尾矿库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93</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非金属矿</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采选业</w:t>
            </w:r>
          </w:p>
          <w:p>
            <w:pPr>
              <w:overflowPunct w:val="0"/>
              <w:topLinePunct/>
              <w:spacing w:line="374" w:lineRule="exact"/>
              <w:jc w:val="center"/>
              <w:rPr>
                <w:rStyle w:val="14"/>
                <w:rFonts w:eastAsia="仿宋_GB2312"/>
                <w:color w:val="000000"/>
                <w:sz w:val="24"/>
              </w:rPr>
            </w:pPr>
            <w:r>
              <w:rPr>
                <w:rStyle w:val="14"/>
                <w:rFonts w:eastAsia="仿宋_GB2312"/>
                <w:color w:val="000000"/>
                <w:sz w:val="24"/>
              </w:rPr>
              <w:t>B10</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化学矿采选</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含单独尾矿库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94</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采盐</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井盐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r>
              <w:rPr>
                <w:rStyle w:val="14"/>
                <w:rFonts w:eastAsia="仿宋_GB2312"/>
                <w:color w:val="000000"/>
                <w:sz w:val="24"/>
              </w:rPr>
              <w:t>95</w:t>
            </w: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石棉及其他非金属矿采选</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74" w:lineRule="exact"/>
              <w:rPr>
                <w:rStyle w:val="14"/>
                <w:rFonts w:eastAsia="仿宋_GB2312"/>
                <w:color w:val="000000"/>
                <w:kern w:val="0"/>
                <w:sz w:val="24"/>
              </w:rPr>
            </w:pPr>
            <w:r>
              <w:rPr>
                <w:rStyle w:val="14"/>
                <w:rFonts w:eastAsia="仿宋_GB2312"/>
                <w:color w:val="000000"/>
                <w:kern w:val="0"/>
                <w:sz w:val="24"/>
              </w:rPr>
              <w:t>含单独尾矿库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96</w:t>
            </w:r>
          </w:p>
        </w:tc>
        <w:tc>
          <w:tcPr>
            <w:tcW w:w="1379" w:type="dxa"/>
            <w:vMerge w:val="restart"/>
            <w:tcBorders>
              <w:top w:val="single" w:color="000000" w:sz="4" w:space="0"/>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交通运输业、管道业和仓储业</w:t>
            </w:r>
          </w:p>
          <w:p>
            <w:pPr>
              <w:overflowPunct w:val="0"/>
              <w:topLinePunct/>
              <w:spacing w:line="360" w:lineRule="exact"/>
              <w:jc w:val="center"/>
              <w:rPr>
                <w:rStyle w:val="14"/>
                <w:rFonts w:eastAsia="仿宋_GB2312"/>
                <w:color w:val="000000"/>
                <w:sz w:val="24"/>
              </w:rPr>
            </w:pPr>
            <w:r>
              <w:rPr>
                <w:rStyle w:val="14"/>
                <w:rFonts w:eastAsia="仿宋_GB2312"/>
                <w:color w:val="000000"/>
                <w:sz w:val="24"/>
              </w:rPr>
              <w:t>G53~59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机场、铁路枢纽</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97</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铁路</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Fonts w:eastAsia="仿宋_GB2312"/>
                <w:color w:val="000000"/>
                <w:sz w:val="24"/>
              </w:rPr>
              <w:t>涉及（一）类环境敏感区的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98</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等级公路</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Fonts w:eastAsia="仿宋_GB2312"/>
                <w:color w:val="000000"/>
                <w:sz w:val="24"/>
              </w:rPr>
              <w:t>涉及（一）类环境敏感区的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99</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导航台站、供油工程、维修保障等配套工程</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供油工程；涉及环境敏感区域（二）的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100</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油气、液体化工码头</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101</w:t>
            </w:r>
          </w:p>
        </w:tc>
        <w:tc>
          <w:tcPr>
            <w:tcW w:w="1379" w:type="dxa"/>
            <w:vMerge w:val="continue"/>
            <w:tcBorders>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干散货（含煤炭、矿石）、件杂、多用途、通用码头</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102</w:t>
            </w:r>
          </w:p>
        </w:tc>
        <w:tc>
          <w:tcPr>
            <w:tcW w:w="1379" w:type="dxa"/>
            <w:vMerge w:val="restart"/>
            <w:tcBorders>
              <w:top w:val="single" w:color="000000" w:sz="4" w:space="0"/>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交通运输业、管道业和仓储业</w:t>
            </w:r>
          </w:p>
          <w:p>
            <w:pPr>
              <w:overflowPunct w:val="0"/>
              <w:topLinePunct/>
              <w:spacing w:line="360" w:lineRule="exact"/>
              <w:jc w:val="center"/>
              <w:rPr>
                <w:rStyle w:val="14"/>
                <w:rFonts w:eastAsia="仿宋_GB2312"/>
                <w:color w:val="000000"/>
                <w:sz w:val="24"/>
              </w:rPr>
            </w:pPr>
            <w:r>
              <w:rPr>
                <w:rStyle w:val="14"/>
                <w:rFonts w:eastAsia="仿宋_GB2312"/>
                <w:color w:val="000000"/>
                <w:sz w:val="24"/>
              </w:rPr>
              <w:t>G53~59</w:t>
            </w: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集装箱专用码头</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103</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石油、天然气、页岩气、成品油管线</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不含城市天然气管线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104</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化学品输送管线</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kern w:val="0"/>
                <w:sz w:val="24"/>
              </w:rPr>
              <w:t>105</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油库（不含加油站的油库）</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106</w:t>
            </w:r>
          </w:p>
        </w:tc>
        <w:tc>
          <w:tcPr>
            <w:tcW w:w="1379" w:type="dxa"/>
            <w:vMerge w:val="continue"/>
            <w:tcBorders>
              <w:left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sz w:val="24"/>
              </w:rPr>
            </w:pPr>
            <w:r>
              <w:rPr>
                <w:rStyle w:val="14"/>
                <w:rFonts w:eastAsia="仿宋_GB2312"/>
                <w:color w:val="000000"/>
                <w:kern w:val="0"/>
                <w:sz w:val="24"/>
              </w:rPr>
              <w:t>气库（含 LNG 库，不含加气</w:t>
            </w:r>
          </w:p>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站的气库）</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sz w:val="24"/>
              </w:rPr>
            </w:pPr>
            <w:r>
              <w:rPr>
                <w:rStyle w:val="14"/>
                <w:rFonts w:eastAsia="仿宋_GB2312"/>
                <w:color w:val="000000"/>
                <w:sz w:val="24"/>
              </w:rPr>
              <w:t>107</w:t>
            </w:r>
          </w:p>
        </w:tc>
        <w:tc>
          <w:tcPr>
            <w:tcW w:w="1379" w:type="dxa"/>
            <w:vMerge w:val="continue"/>
            <w:tcBorders>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strike/>
                <w:color w:val="000000"/>
                <w:sz w:val="24"/>
              </w:rPr>
            </w:pPr>
          </w:p>
        </w:tc>
        <w:tc>
          <w:tcPr>
            <w:tcW w:w="3470"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仓储（不含油库、气库、煤炭储存）</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有毒、有害及危险品仓储及运输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kern w:val="0"/>
                <w:sz w:val="24"/>
              </w:rPr>
            </w:pPr>
            <w:r>
              <w:rPr>
                <w:rStyle w:val="14"/>
                <w:rFonts w:eastAsia="仿宋_GB2312"/>
                <w:color w:val="000000"/>
                <w:kern w:val="0"/>
                <w:sz w:val="24"/>
              </w:rPr>
              <w:t>108</w:t>
            </w:r>
          </w:p>
        </w:tc>
        <w:tc>
          <w:tcPr>
            <w:tcW w:w="4849" w:type="dxa"/>
            <w:gridSpan w:val="2"/>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jc w:val="center"/>
              <w:rPr>
                <w:rStyle w:val="14"/>
                <w:rFonts w:eastAsia="仿宋_GB2312"/>
                <w:color w:val="000000"/>
                <w:kern w:val="0"/>
                <w:sz w:val="24"/>
              </w:rPr>
            </w:pPr>
            <w:r>
              <w:rPr>
                <w:rStyle w:val="14"/>
                <w:rFonts w:eastAsia="仿宋_GB2312"/>
                <w:color w:val="000000"/>
                <w:kern w:val="0"/>
                <w:sz w:val="24"/>
              </w:rPr>
              <w:t>其他</w:t>
            </w:r>
          </w:p>
        </w:tc>
        <w:tc>
          <w:tcPr>
            <w:tcW w:w="3128" w:type="dxa"/>
            <w:tcBorders>
              <w:top w:val="single" w:color="000000" w:sz="4" w:space="0"/>
              <w:left w:val="single" w:color="000000" w:sz="4" w:space="0"/>
              <w:bottom w:val="single" w:color="000000" w:sz="4" w:space="0"/>
              <w:right w:val="single" w:color="000000" w:sz="4" w:space="0"/>
            </w:tcBorders>
            <w:vAlign w:val="center"/>
          </w:tcPr>
          <w:p>
            <w:pPr>
              <w:overflowPunct w:val="0"/>
              <w:topLinePunct/>
              <w:spacing w:line="360" w:lineRule="exact"/>
              <w:rPr>
                <w:rStyle w:val="14"/>
                <w:rFonts w:eastAsia="仿宋_GB2312"/>
                <w:color w:val="000000"/>
                <w:kern w:val="0"/>
                <w:sz w:val="24"/>
              </w:rPr>
            </w:pPr>
            <w:r>
              <w:rPr>
                <w:rStyle w:val="14"/>
                <w:rFonts w:eastAsia="仿宋_GB2312"/>
                <w:color w:val="000000"/>
                <w:kern w:val="0"/>
                <w:sz w:val="24"/>
              </w:rPr>
              <w:t>其他应当开展突发环境事件应急预案备案工作的企事业单位；鼓励其他企业制定突发环境事件应急预案，或在突发事件应急预案中制定突发环境事件应急预案专章，并备案。</w:t>
            </w:r>
          </w:p>
        </w:tc>
      </w:tr>
    </w:tbl>
    <w:p>
      <w:pPr>
        <w:overflowPunct w:val="0"/>
        <w:topLinePunct/>
        <w:spacing w:line="400" w:lineRule="exact"/>
        <w:rPr>
          <w:rFonts w:eastAsia="仿宋_GB2312"/>
          <w:bCs/>
          <w:sz w:val="24"/>
          <w:szCs w:val="24"/>
        </w:rPr>
      </w:pPr>
      <w:r>
        <w:rPr>
          <w:rFonts w:hint="eastAsia" w:eastAsia="仿宋_GB2312"/>
          <w:bCs/>
          <w:sz w:val="24"/>
          <w:szCs w:val="24"/>
        </w:rPr>
        <w:t>备注：环境敏感区域指：</w:t>
      </w:r>
      <w:r>
        <w:rPr>
          <w:rFonts w:hint="eastAsia" w:eastAsia="仿宋_GB2312" w:cs="Tahoma"/>
          <w:bCs/>
          <w:sz w:val="24"/>
          <w:szCs w:val="24"/>
        </w:rPr>
        <w:t>（一）自然保护区、风景名胜区、世界文化和自然遗产地、饮用水水源保护区；（二）以居住、医疗卫生、文化教育、科研、行政办公等为主要功能的区域，以及文物保护单位。</w:t>
      </w:r>
    </w:p>
    <w:p>
      <w:pPr>
        <w:overflowPunct w:val="0"/>
        <w:topLinePunct/>
        <w:spacing w:line="600" w:lineRule="exact"/>
        <w:rPr>
          <w:rFonts w:eastAsia="仿宋_GB2312"/>
          <w:sz w:val="32"/>
          <w:szCs w:val="32"/>
        </w:rPr>
      </w:pPr>
      <w:r>
        <w:rPr>
          <w:rFonts w:eastAsia="仿宋_GB2312"/>
          <w:sz w:val="32"/>
          <w:szCs w:val="32"/>
        </w:rPr>
        <w:br w:type="page"/>
      </w: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76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eastAsia="仿宋_GB2312"/>
          <w:sz w:val="32"/>
          <w:szCs w:val="32"/>
        </w:rPr>
      </w:pPr>
    </w:p>
    <w:p>
      <w:pPr>
        <w:overflowPunct w:val="0"/>
        <w:topLinePunct/>
        <w:spacing w:line="600" w:lineRule="exact"/>
        <w:rPr>
          <w:rFonts w:hint="eastAsia" w:eastAsia="仿宋_GB2312"/>
          <w:sz w:val="32"/>
          <w:szCs w:val="32"/>
        </w:rPr>
      </w:pPr>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382270</wp:posOffset>
                </wp:positionV>
                <wp:extent cx="1299845" cy="565785"/>
                <wp:effectExtent l="4445" t="4445" r="10160" b="20320"/>
                <wp:wrapNone/>
                <wp:docPr id="1" name="矩形 2"/>
                <wp:cNvGraphicFramePr/>
                <a:graphic xmlns:a="http://schemas.openxmlformats.org/drawingml/2006/main">
                  <a:graphicData uri="http://schemas.microsoft.com/office/word/2010/wordprocessingShape">
                    <wps:wsp>
                      <wps:cNvSpPr/>
                      <wps:spPr>
                        <a:xfrm>
                          <a:off x="0" y="0"/>
                          <a:ext cx="1299845" cy="56578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1.1pt;margin-top:30.1pt;height:44.55pt;width:102.35pt;z-index:251659264;mso-width-relative:page;mso-height-relative:page;" fillcolor="#FFFFFF" filled="t" stroked="t" coordsize="21600,21600" o:gfxdata="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1adTVAAAACAEAAA8AAAAAAAAAAQAgAAAAIgAAAGRycy9kb3ducmV2LnhtbFBLAQIU&#10;ABQAAAAIAIdO4kCK62dj9gEAAB4EAAAOAAAAAAAAAAEAIAAAACQBAABkcnMvZTJvRG9jLnhtbFBL&#10;BQYAAAAABgAGAFkBAACMBQAAAAA=&#10;">
                <v:fill on="t" focussize="0,0"/>
                <v:stroke color="#FFFFFF" joinstyle="miter"/>
                <v:imagedata o:title=""/>
                <o:lock v:ext="edit" aspectratio="f"/>
              </v:rect>
            </w:pict>
          </mc:Fallback>
        </mc:AlternateContent>
      </w:r>
    </w:p>
    <w:sectPr>
      <w:footerReference r:id="rId3" w:type="default"/>
      <w:footerReference r:id="rId4" w:type="even"/>
      <w:pgSz w:w="11906" w:h="16838"/>
      <w:pgMar w:top="2098" w:right="1474" w:bottom="1247"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Y2I1NDRiZTcwMGY4ZjY4MWRlNzQxYzEyZTk2YzIifQ=="/>
  </w:docVars>
  <w:rsids>
    <w:rsidRoot w:val="00283D9C"/>
    <w:rsid w:val="00026509"/>
    <w:rsid w:val="00031229"/>
    <w:rsid w:val="00101DD0"/>
    <w:rsid w:val="00283D9C"/>
    <w:rsid w:val="00285980"/>
    <w:rsid w:val="00337A34"/>
    <w:rsid w:val="003B3FB0"/>
    <w:rsid w:val="003E2001"/>
    <w:rsid w:val="003E7B0D"/>
    <w:rsid w:val="004139BA"/>
    <w:rsid w:val="00413E28"/>
    <w:rsid w:val="004300F9"/>
    <w:rsid w:val="00437024"/>
    <w:rsid w:val="00440AB2"/>
    <w:rsid w:val="00452ABB"/>
    <w:rsid w:val="00522C39"/>
    <w:rsid w:val="00543B95"/>
    <w:rsid w:val="00552081"/>
    <w:rsid w:val="0062050A"/>
    <w:rsid w:val="00636344"/>
    <w:rsid w:val="00636B87"/>
    <w:rsid w:val="007F1F33"/>
    <w:rsid w:val="008175D7"/>
    <w:rsid w:val="00881AD9"/>
    <w:rsid w:val="008F37A2"/>
    <w:rsid w:val="0090623C"/>
    <w:rsid w:val="009C5982"/>
    <w:rsid w:val="009C7F7E"/>
    <w:rsid w:val="00A05F67"/>
    <w:rsid w:val="00A135E4"/>
    <w:rsid w:val="00A152F2"/>
    <w:rsid w:val="00A16E0F"/>
    <w:rsid w:val="00A93507"/>
    <w:rsid w:val="00AC59FE"/>
    <w:rsid w:val="00B4360D"/>
    <w:rsid w:val="00B61802"/>
    <w:rsid w:val="00C218B3"/>
    <w:rsid w:val="00CB2BC8"/>
    <w:rsid w:val="00D10E85"/>
    <w:rsid w:val="00D37F79"/>
    <w:rsid w:val="00D44F36"/>
    <w:rsid w:val="00D47218"/>
    <w:rsid w:val="00D866A1"/>
    <w:rsid w:val="00DC3427"/>
    <w:rsid w:val="00DF1EC0"/>
    <w:rsid w:val="00E20C4A"/>
    <w:rsid w:val="00E256CE"/>
    <w:rsid w:val="118216CB"/>
    <w:rsid w:val="273112FF"/>
    <w:rsid w:val="4AB82B8E"/>
    <w:rsid w:val="58FB58A4"/>
    <w:rsid w:val="5D1525C0"/>
    <w:rsid w:val="79E42084"/>
    <w:rsid w:val="7C5C6C03"/>
    <w:rsid w:val="7D986E56"/>
    <w:rsid w:val="7DA76457"/>
    <w:rsid w:val="EF2B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semiHidden/>
    <w:unhideWhenUsed/>
    <w:qFormat/>
    <w:uiPriority w:val="99"/>
    <w:rPr>
      <w:color w:val="954F72"/>
      <w:u w:val="single"/>
    </w:rPr>
  </w:style>
  <w:style w:type="character" w:styleId="8">
    <w:name w:val="Emphasis"/>
    <w:qFormat/>
    <w:uiPriority w:val="20"/>
    <w:rPr>
      <w:i/>
      <w:iCs/>
    </w:rPr>
  </w:style>
  <w:style w:type="character" w:styleId="9">
    <w:name w:val="Hyperlink"/>
    <w:unhideWhenUsed/>
    <w:qFormat/>
    <w:uiPriority w:val="99"/>
    <w:rPr>
      <w:color w:val="0563C1"/>
      <w:u w:val="singl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qFormat/>
    <w:uiPriority w:val="99"/>
    <w:rPr>
      <w:kern w:val="2"/>
      <w:sz w:val="18"/>
      <w:szCs w:val="18"/>
    </w:rPr>
  </w:style>
  <w:style w:type="character" w:customStyle="1" w:styleId="12">
    <w:name w:val="页眉 字符"/>
    <w:link w:val="4"/>
    <w:uiPriority w:val="99"/>
    <w:rPr>
      <w:kern w:val="2"/>
      <w:sz w:val="18"/>
      <w:szCs w:val="18"/>
    </w:rPr>
  </w:style>
  <w:style w:type="character" w:customStyle="1" w:styleId="13">
    <w:name w:val="页脚 字符1"/>
    <w:uiPriority w:val="99"/>
    <w:rPr>
      <w:sz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3464</Words>
  <Characters>3703</Characters>
  <Lines>33</Lines>
  <Paragraphs>9</Paragraphs>
  <TotalTime>21</TotalTime>
  <ScaleCrop>false</ScaleCrop>
  <LinksUpToDate>false</LinksUpToDate>
  <CharactersWithSpaces>3713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2022-06-28T06:28:00Z</dcterms:created>
  <dc:creator>冯桂玲</dc:creator>
  <cp:lastModifiedBy>涅槃重生1407978178</cp:lastModifiedBy>
  <cp:lastPrinted>2019-09-30T11:45:00Z</cp:lastPrinted>
  <dcterms:modified xsi:type="dcterms:W3CDTF">2022-06-30T07:45:29Z</dcterms:modified>
  <dc:title>四川省生态环境厅办公室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9CA61D9EA556443CAA2DDE35129E970F</vt:lpwstr>
  </property>
</Properties>
</file>