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79"/>
        </w:tabs>
        <w:overflowPunct w:val="0"/>
        <w:topLinePunct/>
        <w:spacing w:line="260" w:lineRule="exact"/>
        <w:jc w:val="center"/>
        <w:rPr>
          <w:rFonts w:eastAsia="方正小标宋简体"/>
          <w:bCs/>
          <w:color w:val="auto"/>
          <w:sz w:val="44"/>
          <w:szCs w:val="40"/>
          <w:highlight w:val="none"/>
        </w:rPr>
      </w:pPr>
    </w:p>
    <w:p>
      <w:pPr>
        <w:tabs>
          <w:tab w:val="left" w:pos="7579"/>
        </w:tabs>
        <w:overflowPunct w:val="0"/>
        <w:topLinePunct/>
        <w:spacing w:line="260" w:lineRule="exact"/>
        <w:jc w:val="center"/>
        <w:rPr>
          <w:rFonts w:eastAsia="方正小标宋简体"/>
          <w:bCs/>
          <w:color w:val="auto"/>
          <w:sz w:val="44"/>
          <w:szCs w:val="40"/>
          <w:highlight w:val="none"/>
        </w:rPr>
      </w:pPr>
    </w:p>
    <w:p>
      <w:pPr>
        <w:tabs>
          <w:tab w:val="left" w:pos="7579"/>
        </w:tabs>
        <w:overflowPunct w:val="0"/>
        <w:topLinePunct/>
        <w:spacing w:line="260" w:lineRule="exact"/>
        <w:jc w:val="center"/>
        <w:rPr>
          <w:rFonts w:eastAsia="方正小标宋简体"/>
          <w:bCs/>
          <w:color w:val="auto"/>
          <w:sz w:val="44"/>
          <w:szCs w:val="40"/>
          <w:highlight w:val="none"/>
        </w:rPr>
      </w:pPr>
    </w:p>
    <w:p>
      <w:pPr>
        <w:jc w:val="center"/>
        <w:rPr>
          <w:rFonts w:hint="eastAsia" w:ascii="黑体" w:hAnsi="黑体" w:eastAsia="黑体" w:cs="黑体"/>
          <w:bCs/>
          <w:color w:val="auto"/>
          <w:sz w:val="52"/>
          <w:szCs w:val="52"/>
          <w:highlight w:val="none"/>
        </w:rPr>
      </w:pPr>
      <w:r>
        <w:rPr>
          <w:rFonts w:hint="eastAsia" w:ascii="黑体" w:hAnsi="黑体" w:eastAsia="黑体" w:cs="黑体"/>
          <w:bCs/>
          <w:color w:val="auto"/>
          <w:sz w:val="52"/>
          <w:szCs w:val="52"/>
          <w:highlight w:val="none"/>
        </w:rPr>
        <w:t>四川省危险废物电子标签</w:t>
      </w:r>
    </w:p>
    <w:p>
      <w:pPr>
        <w:jc w:val="center"/>
        <w:rPr>
          <w:rFonts w:hint="eastAsia" w:ascii="黑体" w:hAnsi="黑体" w:eastAsia="黑体" w:cs="黑体"/>
          <w:bCs/>
          <w:color w:val="auto"/>
          <w:sz w:val="52"/>
          <w:szCs w:val="52"/>
          <w:highlight w:val="none"/>
          <w:lang w:eastAsia="zh-CN"/>
        </w:rPr>
      </w:pPr>
      <w:r>
        <w:rPr>
          <w:rFonts w:hint="eastAsia" w:ascii="黑体" w:hAnsi="黑体" w:eastAsia="黑体" w:cs="黑体"/>
          <w:bCs/>
          <w:color w:val="auto"/>
          <w:sz w:val="52"/>
          <w:szCs w:val="52"/>
          <w:highlight w:val="none"/>
        </w:rPr>
        <w:t>全过程应用管理</w:t>
      </w:r>
      <w:r>
        <w:rPr>
          <w:rFonts w:hint="eastAsia" w:ascii="黑体" w:hAnsi="黑体" w:eastAsia="黑体" w:cs="黑体"/>
          <w:bCs/>
          <w:color w:val="auto"/>
          <w:sz w:val="52"/>
          <w:szCs w:val="52"/>
          <w:highlight w:val="none"/>
          <w:lang w:val="en-US" w:eastAsia="zh-CN"/>
        </w:rPr>
        <w:t>规范</w:t>
      </w:r>
    </w:p>
    <w:p>
      <w:pPr>
        <w:jc w:val="center"/>
        <w:rPr>
          <w:rFonts w:hint="eastAsia" w:ascii="宋体" w:hAnsi="宋体" w:eastAsia="宋体" w:cs="宋体"/>
          <w:bCs/>
          <w:color w:val="auto"/>
          <w:sz w:val="24"/>
          <w:szCs w:val="24"/>
          <w:highlight w:val="none"/>
        </w:rPr>
      </w:pPr>
    </w:p>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（征求意见稿）</w:t>
      </w:r>
    </w:p>
    <w:p>
      <w:pPr>
        <w:jc w:val="center"/>
        <w:rPr>
          <w:rFonts w:ascii="Times New Roman" w:hAnsi="Times New Roman" w:eastAsia="方正小标宋简体" w:cs="Times New Roman"/>
          <w:bCs/>
          <w:color w:val="auto"/>
          <w:sz w:val="52"/>
          <w:szCs w:val="52"/>
          <w:highlight w:val="none"/>
        </w:rPr>
      </w:pPr>
    </w:p>
    <w:p>
      <w:pPr>
        <w:jc w:val="center"/>
        <w:rPr>
          <w:rFonts w:ascii="Times New Roman" w:hAnsi="Times New Roman" w:eastAsia="仿宋_GB2312" w:cs="Times New Roman"/>
          <w:b/>
          <w:color w:val="auto"/>
          <w:sz w:val="32"/>
          <w:szCs w:val="32"/>
          <w:highlight w:val="none"/>
        </w:rPr>
      </w:pPr>
    </w:p>
    <w:p>
      <w:pPr>
        <w:widowControl/>
        <w:jc w:val="center"/>
        <w:rPr>
          <w:rFonts w:ascii="Times New Roman" w:hAnsi="Times New Roman" w:eastAsia="仿宋_GB2312" w:cs="Times New Roman"/>
          <w:color w:val="auto"/>
          <w:sz w:val="32"/>
          <w:szCs w:val="32"/>
          <w:highlight w:val="none"/>
        </w:rPr>
      </w:pPr>
    </w:p>
    <w:p>
      <w:pPr>
        <w:widowControl/>
        <w:jc w:val="center"/>
        <w:rPr>
          <w:rFonts w:ascii="Times New Roman" w:hAnsi="Times New Roman" w:eastAsia="仿宋_GB2312" w:cs="Times New Roman"/>
          <w:color w:val="auto"/>
          <w:sz w:val="32"/>
          <w:szCs w:val="32"/>
          <w:highlight w:val="none"/>
        </w:rPr>
      </w:pPr>
    </w:p>
    <w:p>
      <w:pPr>
        <w:widowControl/>
        <w:jc w:val="center"/>
        <w:rPr>
          <w:rFonts w:ascii="Times New Roman" w:hAnsi="Times New Roman" w:eastAsia="仿宋_GB2312" w:cs="Times New Roman"/>
          <w:color w:val="auto"/>
          <w:sz w:val="32"/>
          <w:szCs w:val="32"/>
          <w:highlight w:val="none"/>
        </w:rPr>
      </w:pPr>
    </w:p>
    <w:p>
      <w:pPr>
        <w:widowControl/>
        <w:jc w:val="center"/>
        <w:rPr>
          <w:rFonts w:ascii="Times New Roman" w:hAnsi="Times New Roman" w:eastAsia="仿宋_GB2312" w:cs="Times New Roman"/>
          <w:color w:val="auto"/>
          <w:sz w:val="32"/>
          <w:szCs w:val="32"/>
          <w:highlight w:val="none"/>
        </w:rPr>
      </w:pPr>
    </w:p>
    <w:p>
      <w:pPr>
        <w:widowControl/>
        <w:jc w:val="center"/>
        <w:rPr>
          <w:rFonts w:ascii="Times New Roman" w:hAnsi="Times New Roman" w:eastAsia="仿宋_GB2312" w:cs="Times New Roman"/>
          <w:color w:val="auto"/>
          <w:sz w:val="32"/>
          <w:szCs w:val="32"/>
          <w:highlight w:val="none"/>
        </w:rPr>
      </w:pPr>
    </w:p>
    <w:p>
      <w:pPr>
        <w:widowControl/>
        <w:jc w:val="center"/>
        <w:rPr>
          <w:rFonts w:ascii="Times New Roman" w:hAnsi="Times New Roman" w:eastAsia="仿宋_GB2312" w:cs="Times New Roman"/>
          <w:color w:val="auto"/>
          <w:sz w:val="32"/>
          <w:szCs w:val="32"/>
          <w:highlight w:val="none"/>
        </w:rPr>
      </w:pPr>
    </w:p>
    <w:p>
      <w:pPr>
        <w:widowControl/>
        <w:jc w:val="center"/>
        <w:rPr>
          <w:rFonts w:ascii="Times New Roman" w:hAnsi="Times New Roman" w:eastAsia="仿宋_GB2312" w:cs="Times New Roman"/>
          <w:color w:val="auto"/>
          <w:sz w:val="32"/>
          <w:szCs w:val="32"/>
          <w:highlight w:val="none"/>
        </w:rPr>
      </w:pPr>
    </w:p>
    <w:p>
      <w:pPr>
        <w:widowControl/>
        <w:jc w:val="center"/>
        <w:rPr>
          <w:rFonts w:ascii="Times New Roman" w:hAnsi="Times New Roman" w:eastAsia="仿宋_GB2312" w:cs="Times New Roman"/>
          <w:color w:val="auto"/>
          <w:sz w:val="32"/>
          <w:szCs w:val="32"/>
          <w:highlight w:val="none"/>
        </w:rPr>
      </w:pPr>
    </w:p>
    <w:p>
      <w:pPr>
        <w:widowControl/>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四川省生态环境厅</w:t>
      </w:r>
    </w:p>
    <w:p>
      <w:pPr>
        <w:widowControl/>
        <w:jc w:val="center"/>
        <w:rPr>
          <w:rFonts w:ascii="Times New Roman" w:hAnsi="Times New Roman" w:eastAsia="方正小标宋简体" w:cs="Times New Roman"/>
          <w:color w:val="auto"/>
          <w:sz w:val="36"/>
          <w:szCs w:val="36"/>
          <w:highlight w:val="none"/>
        </w:rPr>
        <w:sectPr>
          <w:footerReference r:id="rId3" w:type="default"/>
          <w:pgSz w:w="11906" w:h="16838"/>
          <w:pgMar w:top="2098" w:right="1474" w:bottom="1984" w:left="1587" w:header="851" w:footer="992" w:gutter="0"/>
          <w:pgNumType w:fmt="decimal" w:start="2"/>
          <w:cols w:space="425" w:num="1"/>
          <w:docGrid w:type="lines" w:linePitch="312" w:charSpace="0"/>
        </w:sectPr>
      </w:pPr>
      <w:r>
        <w:rPr>
          <w:rFonts w:ascii="Times New Roman" w:hAnsi="Times New Roman" w:eastAsia="方正小标宋简体" w:cs="Times New Roman"/>
          <w:color w:val="auto"/>
          <w:sz w:val="36"/>
          <w:szCs w:val="36"/>
          <w:highlight w:val="none"/>
        </w:rPr>
        <w:t>2023年</w:t>
      </w:r>
      <w:r>
        <w:rPr>
          <w:rFonts w:hint="eastAsia" w:ascii="Times New Roman" w:hAnsi="Times New Roman" w:eastAsia="方正小标宋简体" w:cs="Times New Roman"/>
          <w:color w:val="auto"/>
          <w:sz w:val="36"/>
          <w:szCs w:val="36"/>
          <w:highlight w:val="none"/>
        </w:rPr>
        <w:t>X</w:t>
      </w:r>
      <w:r>
        <w:rPr>
          <w:rFonts w:ascii="Times New Roman" w:hAnsi="Times New Roman" w:eastAsia="方正小标宋简体" w:cs="Times New Roman"/>
          <w:color w:val="auto"/>
          <w:sz w:val="36"/>
          <w:szCs w:val="36"/>
          <w:highlight w:val="none"/>
        </w:rPr>
        <w:t>月</w:t>
      </w:r>
    </w:p>
    <w:sdt>
      <w:sdtPr>
        <w:rPr>
          <w:rFonts w:ascii="Times New Roman" w:hAnsi="Times New Roman" w:eastAsia="仿宋_GB2312" w:cs="Times New Roman"/>
          <w:color w:val="auto"/>
          <w:sz w:val="44"/>
          <w:szCs w:val="44"/>
          <w:highlight w:val="none"/>
          <w:lang w:val="zh-CN"/>
        </w:rPr>
        <w:id w:val="-1"/>
        <w:docPartObj>
          <w:docPartGallery w:val="Table of Contents"/>
          <w:docPartUnique/>
        </w:docPartObj>
      </w:sdtPr>
      <w:sdtEndPr>
        <w:rPr>
          <w:rFonts w:ascii="Times New Roman" w:hAnsi="Times New Roman" w:eastAsia="仿宋_GB2312" w:cs="Times New Roman"/>
          <w:b/>
          <w:bCs/>
          <w:color w:val="auto"/>
          <w:sz w:val="32"/>
          <w:szCs w:val="32"/>
          <w:highlight w:val="none"/>
          <w:lang w:val="zh-CN"/>
        </w:rPr>
      </w:sdtEndPr>
      <w:sdtContent>
        <w:p>
          <w:pPr>
            <w:widowControl/>
            <w:spacing w:line="360" w:lineRule="auto"/>
            <w:jc w:val="center"/>
            <w:rPr>
              <w:rFonts w:hint="eastAsia" w:hAnsi="Calibri" w:eastAsia="黑体" w:cs="Times New Roman"/>
              <w:spacing w:val="320"/>
              <w:szCs w:val="21"/>
              <w:lang w:val="en-US" w:eastAsia="zh-CN"/>
            </w:rPr>
          </w:pPr>
          <w:r>
            <w:rPr>
              <w:rFonts w:hint="eastAsia" w:hAnsi="Calibri" w:cs="Times New Roman"/>
              <w:spacing w:val="320"/>
              <w:sz w:val="44"/>
              <w:szCs w:val="44"/>
            </w:rPr>
            <w:t>目</w:t>
          </w:r>
          <w:r>
            <w:rPr>
              <w:rFonts w:hint="eastAsia" w:hAnsi="Calibri" w:cs="Times New Roman"/>
              <w:spacing w:val="320"/>
              <w:sz w:val="44"/>
              <w:szCs w:val="44"/>
              <w:lang w:val="en-US" w:eastAsia="zh-CN"/>
            </w:rPr>
            <w:t>次</w:t>
          </w:r>
        </w:p>
        <w:p>
          <w:pPr>
            <w:widowControl/>
            <w:spacing w:line="360" w:lineRule="auto"/>
            <w:jc w:val="center"/>
            <w:rPr>
              <w:rFonts w:ascii="Times New Roman" w:hAnsi="Times New Roman" w:eastAsia="仿宋_GB2312" w:cs="Times New Roman"/>
              <w:b/>
              <w:color w:val="auto"/>
              <w:sz w:val="56"/>
              <w:szCs w:val="56"/>
              <w:highlight w:val="none"/>
            </w:rPr>
          </w:pPr>
        </w:p>
        <w:p>
          <w:pPr>
            <w:pStyle w:val="19"/>
            <w:tabs>
              <w:tab w:val="right" w:leader="dot" w:pos="8845"/>
            </w:tabs>
            <w:rPr>
              <w:rFonts w:hint="eastAsia" w:ascii="宋体" w:hAnsi="宋体" w:eastAsia="宋体" w:cs="宋体"/>
              <w:color w:val="auto"/>
              <w:sz w:val="32"/>
              <w:szCs w:val="36"/>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TOC \o "1-3" \h \z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"_Toc4065" </w:instrText>
          </w:r>
          <w:r>
            <w:rPr>
              <w:rFonts w:hint="eastAsia" w:ascii="宋体" w:hAnsi="宋体" w:eastAsia="宋体" w:cs="宋体"/>
              <w:color w:val="auto"/>
              <w:highlight w:val="none"/>
            </w:rPr>
            <w:fldChar w:fldCharType="separate"/>
          </w:r>
          <w:r>
            <w:rPr>
              <w:rFonts w:hint="eastAsia" w:ascii="宋体" w:hAnsi="宋体" w:eastAsia="宋体" w:cs="宋体"/>
              <w:color w:val="auto"/>
              <w:sz w:val="32"/>
              <w:szCs w:val="72"/>
              <w:highlight w:val="none"/>
              <w:lang w:val="zh-CN"/>
            </w:rPr>
            <w:t>前   言</w:t>
          </w:r>
          <w:r>
            <w:rPr>
              <w:rFonts w:hint="eastAsia" w:ascii="宋体" w:hAnsi="宋体" w:eastAsia="宋体" w:cs="宋体"/>
              <w:color w:val="auto"/>
              <w:sz w:val="32"/>
              <w:szCs w:val="36"/>
              <w:highlight w:val="none"/>
            </w:rPr>
            <w:tab/>
          </w:r>
          <w:r>
            <w:rPr>
              <w:rFonts w:hint="eastAsia" w:ascii="宋体" w:hAnsi="宋体" w:eastAsia="宋体" w:cs="宋体"/>
              <w:color w:val="auto"/>
              <w:sz w:val="32"/>
              <w:szCs w:val="36"/>
              <w:highlight w:val="none"/>
              <w:lang w:val="en-US" w:eastAsia="zh-CN"/>
            </w:rPr>
            <w:t>2</w:t>
          </w:r>
          <w:r>
            <w:rPr>
              <w:rFonts w:hint="eastAsia" w:ascii="宋体" w:hAnsi="宋体" w:eastAsia="宋体" w:cs="宋体"/>
              <w:color w:val="auto"/>
              <w:sz w:val="32"/>
              <w:szCs w:val="36"/>
              <w:highlight w:val="none"/>
            </w:rPr>
            <w:fldChar w:fldCharType="end"/>
          </w:r>
        </w:p>
        <w:p>
          <w:pPr>
            <w:pStyle w:val="19"/>
            <w:tabs>
              <w:tab w:val="right" w:leader="dot" w:pos="8845"/>
            </w:tabs>
            <w:rPr>
              <w:rFonts w:hint="eastAsia" w:ascii="宋体" w:hAnsi="宋体" w:eastAsia="宋体" w:cs="宋体"/>
              <w:color w:val="auto"/>
              <w:sz w:val="32"/>
              <w:szCs w:val="36"/>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"_Toc12592" </w:instrText>
          </w:r>
          <w:r>
            <w:rPr>
              <w:rFonts w:hint="eastAsia" w:ascii="宋体" w:hAnsi="宋体" w:eastAsia="宋体" w:cs="宋体"/>
              <w:color w:val="auto"/>
              <w:highlight w:val="none"/>
            </w:rPr>
            <w:fldChar w:fldCharType="separate"/>
          </w:r>
          <w:r>
            <w:rPr>
              <w:rFonts w:hint="eastAsia" w:ascii="宋体" w:hAnsi="宋体" w:eastAsia="宋体" w:cs="宋体"/>
              <w:color w:val="auto"/>
              <w:sz w:val="32"/>
              <w:szCs w:val="36"/>
              <w:highlight w:val="none"/>
            </w:rPr>
            <w:t>1 适用范围</w:t>
          </w:r>
          <w:r>
            <w:rPr>
              <w:rFonts w:hint="eastAsia" w:ascii="宋体" w:hAnsi="宋体" w:eastAsia="宋体" w:cs="宋体"/>
              <w:color w:val="auto"/>
              <w:sz w:val="32"/>
              <w:szCs w:val="36"/>
              <w:highlight w:val="none"/>
            </w:rPr>
            <w:tab/>
          </w:r>
          <w:r>
            <w:rPr>
              <w:rFonts w:hint="eastAsia" w:ascii="宋体" w:hAnsi="宋体" w:eastAsia="宋体" w:cs="宋体"/>
              <w:color w:val="auto"/>
              <w:sz w:val="32"/>
              <w:szCs w:val="36"/>
              <w:highlight w:val="none"/>
              <w:lang w:val="en-US" w:eastAsia="zh-CN"/>
            </w:rPr>
            <w:t>3</w:t>
          </w:r>
          <w:r>
            <w:rPr>
              <w:rFonts w:hint="eastAsia" w:ascii="宋体" w:hAnsi="宋体" w:eastAsia="宋体" w:cs="宋体"/>
              <w:color w:val="auto"/>
              <w:sz w:val="32"/>
              <w:szCs w:val="36"/>
              <w:highlight w:val="none"/>
            </w:rPr>
            <w:fldChar w:fldCharType="end"/>
          </w:r>
        </w:p>
        <w:p>
          <w:pPr>
            <w:pStyle w:val="19"/>
            <w:tabs>
              <w:tab w:val="right" w:leader="dot" w:pos="8845"/>
            </w:tabs>
            <w:rPr>
              <w:rFonts w:hint="eastAsia" w:ascii="宋体" w:hAnsi="宋体" w:eastAsia="宋体" w:cs="宋体"/>
              <w:color w:val="auto"/>
              <w:sz w:val="32"/>
              <w:szCs w:val="36"/>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"_Toc25839" </w:instrText>
          </w:r>
          <w:r>
            <w:rPr>
              <w:rFonts w:hint="eastAsia" w:ascii="宋体" w:hAnsi="宋体" w:eastAsia="宋体" w:cs="宋体"/>
              <w:color w:val="auto"/>
              <w:highlight w:val="none"/>
            </w:rPr>
            <w:fldChar w:fldCharType="separate"/>
          </w:r>
          <w:r>
            <w:rPr>
              <w:rFonts w:hint="eastAsia" w:ascii="宋体" w:hAnsi="宋体" w:eastAsia="宋体" w:cs="宋体"/>
              <w:color w:val="auto"/>
              <w:sz w:val="32"/>
              <w:szCs w:val="36"/>
              <w:highlight w:val="none"/>
            </w:rPr>
            <w:t>2 规范性引用文件</w:t>
          </w:r>
          <w:r>
            <w:rPr>
              <w:rFonts w:hint="eastAsia" w:ascii="宋体" w:hAnsi="宋体" w:eastAsia="宋体" w:cs="宋体"/>
              <w:color w:val="auto"/>
              <w:sz w:val="32"/>
              <w:szCs w:val="36"/>
              <w:highlight w:val="none"/>
            </w:rPr>
            <w:tab/>
          </w:r>
          <w:r>
            <w:rPr>
              <w:rFonts w:hint="eastAsia" w:ascii="宋体" w:hAnsi="宋体" w:eastAsia="宋体" w:cs="宋体"/>
              <w:color w:val="auto"/>
              <w:sz w:val="32"/>
              <w:szCs w:val="36"/>
              <w:highlight w:val="none"/>
              <w:lang w:val="en-US" w:eastAsia="zh-CN"/>
            </w:rPr>
            <w:t>3</w:t>
          </w:r>
          <w:r>
            <w:rPr>
              <w:rFonts w:hint="eastAsia" w:ascii="宋体" w:hAnsi="宋体" w:eastAsia="宋体" w:cs="宋体"/>
              <w:color w:val="auto"/>
              <w:sz w:val="32"/>
              <w:szCs w:val="36"/>
              <w:highlight w:val="none"/>
            </w:rPr>
            <w:fldChar w:fldCharType="end"/>
          </w:r>
        </w:p>
        <w:p>
          <w:pPr>
            <w:pStyle w:val="19"/>
            <w:tabs>
              <w:tab w:val="right" w:leader="dot" w:pos="8845"/>
            </w:tabs>
            <w:rPr>
              <w:rFonts w:hint="eastAsia" w:ascii="宋体" w:hAnsi="宋体" w:eastAsia="宋体" w:cs="宋体"/>
              <w:color w:val="auto"/>
              <w:sz w:val="32"/>
              <w:szCs w:val="36"/>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"_Toc15646" </w:instrText>
          </w:r>
          <w:r>
            <w:rPr>
              <w:rFonts w:hint="eastAsia" w:ascii="宋体" w:hAnsi="宋体" w:eastAsia="宋体" w:cs="宋体"/>
              <w:color w:val="auto"/>
              <w:highlight w:val="none"/>
            </w:rPr>
            <w:fldChar w:fldCharType="separate"/>
          </w:r>
          <w:r>
            <w:rPr>
              <w:rFonts w:hint="eastAsia" w:ascii="宋体" w:hAnsi="宋体" w:eastAsia="宋体" w:cs="宋体"/>
              <w:color w:val="auto"/>
              <w:sz w:val="32"/>
              <w:szCs w:val="36"/>
              <w:highlight w:val="none"/>
            </w:rPr>
            <w:t>3 术语及定义</w:t>
          </w:r>
          <w:r>
            <w:rPr>
              <w:rFonts w:hint="eastAsia" w:ascii="宋体" w:hAnsi="宋体" w:eastAsia="宋体" w:cs="宋体"/>
              <w:color w:val="auto"/>
              <w:sz w:val="32"/>
              <w:szCs w:val="36"/>
              <w:highlight w:val="none"/>
            </w:rPr>
            <w:tab/>
          </w:r>
          <w:r>
            <w:rPr>
              <w:rFonts w:hint="eastAsia" w:ascii="宋体" w:hAnsi="宋体" w:eastAsia="宋体" w:cs="宋体"/>
              <w:color w:val="auto"/>
              <w:sz w:val="32"/>
              <w:szCs w:val="36"/>
              <w:highlight w:val="none"/>
              <w:lang w:val="en-US" w:eastAsia="zh-CN"/>
            </w:rPr>
            <w:t>4</w:t>
          </w:r>
          <w:r>
            <w:rPr>
              <w:rFonts w:hint="eastAsia" w:ascii="宋体" w:hAnsi="宋体" w:eastAsia="宋体" w:cs="宋体"/>
              <w:color w:val="auto"/>
              <w:sz w:val="32"/>
              <w:szCs w:val="36"/>
              <w:highlight w:val="none"/>
            </w:rPr>
            <w:fldChar w:fldCharType="end"/>
          </w:r>
        </w:p>
        <w:p>
          <w:pPr>
            <w:pStyle w:val="19"/>
            <w:tabs>
              <w:tab w:val="right" w:leader="dot" w:pos="8845"/>
            </w:tabs>
            <w:rPr>
              <w:rFonts w:hint="eastAsia" w:ascii="宋体" w:hAnsi="宋体" w:eastAsia="宋体" w:cs="宋体"/>
              <w:color w:val="auto"/>
              <w:sz w:val="32"/>
              <w:szCs w:val="36"/>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"_Toc27388" </w:instrText>
          </w:r>
          <w:r>
            <w:rPr>
              <w:rFonts w:hint="eastAsia" w:ascii="宋体" w:hAnsi="宋体" w:eastAsia="宋体" w:cs="宋体"/>
              <w:color w:val="auto"/>
              <w:highlight w:val="none"/>
            </w:rPr>
            <w:fldChar w:fldCharType="separate"/>
          </w:r>
          <w:r>
            <w:rPr>
              <w:rFonts w:hint="eastAsia" w:ascii="宋体" w:hAnsi="宋体" w:eastAsia="宋体" w:cs="宋体"/>
              <w:color w:val="auto"/>
              <w:sz w:val="32"/>
              <w:szCs w:val="36"/>
              <w:highlight w:val="none"/>
            </w:rPr>
            <w:t>4 电子标签设置规范</w:t>
          </w:r>
          <w:r>
            <w:rPr>
              <w:rFonts w:hint="eastAsia" w:ascii="宋体" w:hAnsi="宋体" w:eastAsia="宋体" w:cs="宋体"/>
              <w:color w:val="auto"/>
              <w:sz w:val="32"/>
              <w:szCs w:val="36"/>
              <w:highlight w:val="none"/>
            </w:rPr>
            <w:tab/>
          </w:r>
          <w:r>
            <w:rPr>
              <w:rFonts w:hint="eastAsia" w:ascii="宋体" w:hAnsi="宋体" w:eastAsia="宋体" w:cs="宋体"/>
              <w:color w:val="auto"/>
              <w:sz w:val="32"/>
              <w:szCs w:val="36"/>
              <w:highlight w:val="none"/>
              <w:lang w:val="en-US" w:eastAsia="zh-CN"/>
            </w:rPr>
            <w:t>6</w:t>
          </w:r>
          <w:r>
            <w:rPr>
              <w:rFonts w:hint="eastAsia" w:ascii="宋体" w:hAnsi="宋体" w:eastAsia="宋体" w:cs="宋体"/>
              <w:color w:val="auto"/>
              <w:sz w:val="32"/>
              <w:szCs w:val="36"/>
              <w:highlight w:val="none"/>
            </w:rPr>
            <w:fldChar w:fldCharType="end"/>
          </w:r>
        </w:p>
        <w:p>
          <w:pPr>
            <w:pStyle w:val="19"/>
            <w:tabs>
              <w:tab w:val="right" w:leader="dot" w:pos="8845"/>
            </w:tabs>
            <w:rPr>
              <w:rFonts w:hint="eastAsia" w:ascii="宋体" w:hAnsi="宋体" w:eastAsia="宋体" w:cs="宋体"/>
              <w:color w:val="auto"/>
              <w:sz w:val="32"/>
              <w:szCs w:val="36"/>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"_Toc19473" </w:instrText>
          </w:r>
          <w:r>
            <w:rPr>
              <w:rFonts w:hint="eastAsia" w:ascii="宋体" w:hAnsi="宋体" w:eastAsia="宋体" w:cs="宋体"/>
              <w:color w:val="auto"/>
              <w:highlight w:val="none"/>
            </w:rPr>
            <w:fldChar w:fldCharType="separate"/>
          </w:r>
          <w:r>
            <w:rPr>
              <w:rFonts w:hint="eastAsia" w:ascii="宋体" w:hAnsi="宋体" w:eastAsia="宋体" w:cs="宋体"/>
              <w:color w:val="auto"/>
              <w:sz w:val="32"/>
              <w:szCs w:val="36"/>
              <w:highlight w:val="none"/>
            </w:rPr>
            <w:t>5 电子标签应用管理要求</w:t>
          </w:r>
          <w:r>
            <w:rPr>
              <w:rFonts w:hint="eastAsia" w:ascii="宋体" w:hAnsi="宋体" w:eastAsia="宋体" w:cs="宋体"/>
              <w:color w:val="auto"/>
              <w:sz w:val="32"/>
              <w:szCs w:val="36"/>
              <w:highlight w:val="none"/>
            </w:rPr>
            <w:tab/>
          </w:r>
          <w:r>
            <w:rPr>
              <w:rFonts w:hint="eastAsia" w:ascii="宋体" w:hAnsi="宋体" w:eastAsia="宋体" w:cs="宋体"/>
              <w:color w:val="auto"/>
              <w:sz w:val="32"/>
              <w:szCs w:val="36"/>
              <w:highlight w:val="none"/>
              <w:lang w:val="en-US" w:eastAsia="zh-CN"/>
            </w:rPr>
            <w:t>7</w:t>
          </w:r>
          <w:r>
            <w:rPr>
              <w:rFonts w:hint="eastAsia" w:ascii="宋体" w:hAnsi="宋体" w:eastAsia="宋体" w:cs="宋体"/>
              <w:color w:val="auto"/>
              <w:sz w:val="32"/>
              <w:szCs w:val="36"/>
              <w:highlight w:val="none"/>
            </w:rPr>
            <w:fldChar w:fldCharType="end"/>
          </w:r>
        </w:p>
        <w:p>
          <w:pPr>
            <w:pStyle w:val="19"/>
            <w:tabs>
              <w:tab w:val="right" w:leader="dot" w:pos="8845"/>
            </w:tabs>
            <w:rPr>
              <w:rFonts w:hint="eastAsia" w:ascii="宋体" w:hAnsi="宋体" w:eastAsia="宋体" w:cs="宋体"/>
              <w:color w:val="auto"/>
              <w:sz w:val="32"/>
              <w:szCs w:val="36"/>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"_Toc32500" </w:instrText>
          </w:r>
          <w:r>
            <w:rPr>
              <w:rFonts w:hint="eastAsia" w:ascii="宋体" w:hAnsi="宋体" w:eastAsia="宋体" w:cs="宋体"/>
              <w:color w:val="auto"/>
              <w:highlight w:val="none"/>
            </w:rPr>
            <w:fldChar w:fldCharType="separate"/>
          </w:r>
          <w:r>
            <w:rPr>
              <w:rFonts w:hint="eastAsia" w:ascii="宋体" w:hAnsi="宋体" w:eastAsia="宋体" w:cs="宋体"/>
              <w:color w:val="auto"/>
              <w:sz w:val="32"/>
              <w:szCs w:val="36"/>
              <w:highlight w:val="none"/>
            </w:rPr>
            <w:t>6  实施与监督</w:t>
          </w:r>
          <w:r>
            <w:rPr>
              <w:rFonts w:hint="eastAsia" w:ascii="宋体" w:hAnsi="宋体" w:eastAsia="宋体" w:cs="宋体"/>
              <w:color w:val="auto"/>
              <w:sz w:val="32"/>
              <w:szCs w:val="36"/>
              <w:highlight w:val="none"/>
            </w:rPr>
            <w:tab/>
          </w:r>
          <w:r>
            <w:rPr>
              <w:rFonts w:hint="eastAsia" w:ascii="宋体" w:hAnsi="宋体" w:eastAsia="宋体" w:cs="宋体"/>
              <w:color w:val="auto"/>
              <w:sz w:val="32"/>
              <w:szCs w:val="36"/>
              <w:highlight w:val="none"/>
              <w:lang w:val="en-US" w:eastAsia="zh-CN"/>
            </w:rPr>
            <w:t>1</w:t>
          </w:r>
          <w:r>
            <w:rPr>
              <w:rFonts w:hint="eastAsia" w:ascii="宋体" w:hAnsi="宋体" w:eastAsia="宋体" w:cs="宋体"/>
              <w:color w:val="auto"/>
              <w:sz w:val="32"/>
              <w:szCs w:val="36"/>
              <w:highlight w:val="none"/>
            </w:rPr>
            <w:fldChar w:fldCharType="end"/>
          </w:r>
          <w:r>
            <w:rPr>
              <w:rFonts w:hint="eastAsia" w:ascii="宋体" w:hAnsi="宋体" w:eastAsia="宋体" w:cs="宋体"/>
              <w:color w:val="auto"/>
              <w:sz w:val="32"/>
              <w:szCs w:val="36"/>
              <w:highlight w:val="none"/>
              <w:lang w:val="en-US" w:eastAsia="zh-CN"/>
            </w:rPr>
            <w:t>1</w:t>
          </w:r>
        </w:p>
        <w:p>
          <w:pPr>
            <w:pStyle w:val="19"/>
            <w:tabs>
              <w:tab w:val="right" w:leader="dot" w:pos="8845"/>
            </w:tabs>
            <w:rPr>
              <w:rFonts w:hint="eastAsia" w:ascii="宋体" w:hAnsi="宋体" w:eastAsia="宋体" w:cs="宋体"/>
              <w:color w:val="auto"/>
              <w:sz w:val="28"/>
              <w:szCs w:val="3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"_Toc24921"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32"/>
              <w:highlight w:val="none"/>
            </w:rPr>
            <w:t>附录A（规范性） 危险特性警示图形</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lang w:val="en-US" w:eastAsia="zh-CN"/>
            </w:rPr>
            <w:t>1</w:t>
          </w:r>
          <w:r>
            <w:rPr>
              <w:rFonts w:hint="eastAsia" w:ascii="宋体" w:hAnsi="宋体" w:eastAsia="宋体" w:cs="宋体"/>
              <w:color w:val="auto"/>
              <w:sz w:val="28"/>
              <w:szCs w:val="32"/>
              <w:highlight w:val="none"/>
            </w:rPr>
            <w:fldChar w:fldCharType="end"/>
          </w:r>
          <w:r>
            <w:rPr>
              <w:rFonts w:hint="eastAsia" w:ascii="宋体" w:hAnsi="宋体" w:eastAsia="宋体" w:cs="宋体"/>
              <w:color w:val="auto"/>
              <w:sz w:val="28"/>
              <w:szCs w:val="32"/>
              <w:highlight w:val="none"/>
              <w:lang w:val="en-US" w:eastAsia="zh-CN"/>
            </w:rPr>
            <w:t>2</w:t>
          </w:r>
        </w:p>
        <w:p>
          <w:pPr>
            <w:pStyle w:val="19"/>
            <w:tabs>
              <w:tab w:val="right" w:leader="dot" w:pos="8845"/>
            </w:tabs>
            <w:rPr>
              <w:rFonts w:hint="eastAsia" w:ascii="宋体" w:hAnsi="宋体" w:eastAsia="宋体" w:cs="宋体"/>
              <w:color w:val="auto"/>
              <w:sz w:val="28"/>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"_Toc4272"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32"/>
              <w:highlight w:val="none"/>
            </w:rPr>
            <w:t>附录B（规范性） 标签样式</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_Toc4272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1</w:t>
          </w:r>
          <w:r>
            <w:rPr>
              <w:rFonts w:hint="eastAsia" w:ascii="宋体" w:hAnsi="宋体" w:eastAsia="宋体" w:cs="宋体"/>
              <w:color w:val="auto"/>
              <w:sz w:val="28"/>
              <w:szCs w:val="32"/>
              <w:highlight w:val="none"/>
              <w:lang w:val="en-US" w:eastAsia="zh-CN"/>
            </w:rPr>
            <w:t>3</w:t>
          </w:r>
          <w:r>
            <w:rPr>
              <w:rFonts w:hint="eastAsia" w:ascii="宋体" w:hAnsi="宋体" w:eastAsia="宋体" w:cs="宋体"/>
              <w:color w:val="auto"/>
              <w:sz w:val="28"/>
              <w:szCs w:val="32"/>
              <w:highlight w:val="none"/>
            </w:rPr>
            <w:fldChar w:fldCharType="end"/>
          </w:r>
          <w:r>
            <w:rPr>
              <w:rFonts w:hint="eastAsia" w:ascii="宋体" w:hAnsi="宋体" w:eastAsia="宋体" w:cs="宋体"/>
              <w:color w:val="auto"/>
              <w:sz w:val="28"/>
              <w:szCs w:val="32"/>
              <w:highlight w:val="none"/>
            </w:rPr>
            <w:fldChar w:fldCharType="end"/>
          </w:r>
        </w:p>
        <w:p>
          <w:pPr>
            <w:pStyle w:val="19"/>
            <w:tabs>
              <w:tab w:val="right" w:leader="dot" w:pos="8845"/>
            </w:tabs>
            <w:rPr>
              <w:rFonts w:hint="eastAsia" w:ascii="宋体" w:hAnsi="宋体" w:eastAsia="宋体" w:cs="宋体"/>
              <w:color w:val="auto"/>
              <w:sz w:val="28"/>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"_Toc26632"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32"/>
              <w:highlight w:val="none"/>
            </w:rPr>
            <w:t>附录C（资料性） 危险废物标签常用的注意事项用语</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_Toc26632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1</w:t>
          </w:r>
          <w:r>
            <w:rPr>
              <w:rFonts w:hint="eastAsia" w:ascii="宋体" w:hAnsi="宋体" w:eastAsia="宋体" w:cs="宋体"/>
              <w:color w:val="auto"/>
              <w:sz w:val="28"/>
              <w:szCs w:val="32"/>
              <w:highlight w:val="none"/>
              <w:lang w:val="en-US" w:eastAsia="zh-CN"/>
            </w:rPr>
            <w:t>4</w:t>
          </w:r>
          <w:r>
            <w:rPr>
              <w:rFonts w:hint="eastAsia" w:ascii="宋体" w:hAnsi="宋体" w:eastAsia="宋体" w:cs="宋体"/>
              <w:color w:val="auto"/>
              <w:sz w:val="28"/>
              <w:szCs w:val="32"/>
              <w:highlight w:val="none"/>
            </w:rPr>
            <w:fldChar w:fldCharType="end"/>
          </w:r>
          <w:r>
            <w:rPr>
              <w:rFonts w:hint="eastAsia" w:ascii="宋体" w:hAnsi="宋体" w:eastAsia="宋体" w:cs="宋体"/>
              <w:color w:val="auto"/>
              <w:sz w:val="28"/>
              <w:szCs w:val="32"/>
              <w:highlight w:val="none"/>
            </w:rPr>
            <w:fldChar w:fldCharType="end"/>
          </w:r>
        </w:p>
        <w:p>
          <w:pPr>
            <w:pStyle w:val="19"/>
            <w:tabs>
              <w:tab w:val="right" w:leader="dot" w:pos="8845"/>
            </w:tabs>
            <w:rPr>
              <w:rFonts w:hint="eastAsia" w:ascii="宋体" w:hAnsi="宋体" w:eastAsia="宋体" w:cs="宋体"/>
              <w:color w:val="auto"/>
              <w:sz w:val="28"/>
              <w:szCs w:val="3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"_Toc14098"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32"/>
              <w:highlight w:val="none"/>
            </w:rPr>
            <w:t>附录D（资料性） 无废四川系统接口清单</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lang w:val="en-US" w:eastAsia="zh-CN"/>
            </w:rPr>
            <w:t>1</w:t>
          </w:r>
          <w:r>
            <w:rPr>
              <w:rFonts w:hint="eastAsia" w:ascii="宋体" w:hAnsi="宋体" w:eastAsia="宋体" w:cs="宋体"/>
              <w:color w:val="auto"/>
              <w:sz w:val="28"/>
              <w:szCs w:val="32"/>
              <w:highlight w:val="none"/>
            </w:rPr>
            <w:fldChar w:fldCharType="end"/>
          </w:r>
          <w:r>
            <w:rPr>
              <w:rFonts w:hint="eastAsia" w:ascii="宋体" w:hAnsi="宋体" w:eastAsia="宋体" w:cs="宋体"/>
              <w:color w:val="auto"/>
              <w:sz w:val="28"/>
              <w:szCs w:val="32"/>
              <w:highlight w:val="none"/>
              <w:lang w:val="en-US" w:eastAsia="zh-CN"/>
            </w:rPr>
            <w:t>6</w:t>
          </w:r>
        </w:p>
        <w:p>
          <w:pPr>
            <w:pStyle w:val="19"/>
            <w:tabs>
              <w:tab w:val="right" w:leader="dot" w:pos="8845"/>
            </w:tabs>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"_Toc31537"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32"/>
              <w:highlight w:val="none"/>
            </w:rPr>
            <w:t>附录E（资料性） 标签打印机参考功能</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lang w:val="en-US" w:eastAsia="zh-CN"/>
            </w:rPr>
            <w:t>1</w:t>
          </w:r>
          <w:r>
            <w:rPr>
              <w:rFonts w:hint="eastAsia" w:ascii="宋体" w:hAnsi="宋体" w:eastAsia="宋体" w:cs="宋体"/>
              <w:color w:val="auto"/>
              <w:sz w:val="28"/>
              <w:szCs w:val="32"/>
              <w:highlight w:val="none"/>
            </w:rPr>
            <w:fldChar w:fldCharType="end"/>
          </w:r>
          <w:r>
            <w:rPr>
              <w:rFonts w:hint="eastAsia" w:ascii="宋体" w:hAnsi="宋体" w:eastAsia="宋体" w:cs="宋体"/>
              <w:color w:val="auto"/>
              <w:sz w:val="28"/>
              <w:szCs w:val="32"/>
              <w:highlight w:val="none"/>
              <w:lang w:val="en-US" w:eastAsia="zh-CN"/>
            </w:rPr>
            <w:t>8</w:t>
          </w:r>
        </w:p>
        <w:p>
          <w:pPr>
            <w:spacing w:line="360" w:lineRule="auto"/>
            <w:rPr>
              <w:rFonts w:ascii="Times New Roman" w:hAnsi="Times New Roman" w:eastAsia="仿宋_GB2312" w:cs="Times New Roman"/>
              <w:color w:val="auto"/>
              <w:sz w:val="32"/>
              <w:szCs w:val="32"/>
              <w:highlight w:val="none"/>
            </w:rPr>
          </w:pPr>
          <w:r>
            <w:rPr>
              <w:rFonts w:hint="eastAsia" w:ascii="宋体" w:hAnsi="宋体" w:eastAsia="宋体" w:cs="宋体"/>
              <w:bCs/>
              <w:color w:val="auto"/>
              <w:szCs w:val="32"/>
              <w:highlight w:val="none"/>
              <w:lang w:val="zh-CN"/>
            </w:rPr>
            <w:fldChar w:fldCharType="end"/>
          </w:r>
        </w:p>
      </w:sdtContent>
    </w:sdt>
    <w:p>
      <w:pPr>
        <w:widowControl/>
        <w:jc w:val="left"/>
        <w:rPr>
          <w:rFonts w:ascii="Times New Roman" w:hAnsi="Times New Roman" w:eastAsia="仿宋_GB2312" w:cs="Times New Roman"/>
          <w:color w:val="auto"/>
          <w:sz w:val="32"/>
          <w:szCs w:val="32"/>
          <w:highlight w:val="none"/>
        </w:rPr>
        <w:sectPr>
          <w:footerReference r:id="rId4" w:type="default"/>
          <w:pgSz w:w="11906" w:h="16838"/>
          <w:pgMar w:top="2098" w:right="1474" w:bottom="1984" w:left="1587" w:header="851" w:footer="992" w:gutter="0"/>
          <w:pgNumType w:fmt="decimal" w:start="1"/>
          <w:cols w:space="425" w:num="1"/>
          <w:docGrid w:type="lines" w:linePitch="312" w:charSpace="0"/>
        </w:sectPr>
      </w:pPr>
    </w:p>
    <w:p>
      <w:pPr>
        <w:pStyle w:val="3"/>
        <w:spacing w:after="0" w:line="360" w:lineRule="auto"/>
        <w:jc w:val="center"/>
        <w:rPr>
          <w:rFonts w:hint="eastAsia" w:ascii="黑体" w:hAnsi="黑体" w:eastAsia="黑体" w:cs="黑体"/>
          <w:bCs w:val="0"/>
          <w:color w:val="auto"/>
          <w:sz w:val="44"/>
          <w:szCs w:val="44"/>
          <w:highlight w:val="none"/>
          <w:lang w:val="zh-CN"/>
        </w:rPr>
      </w:pPr>
      <w:bookmarkStart w:id="0" w:name="_Toc144491559"/>
      <w:bookmarkStart w:id="1" w:name="_Toc4065"/>
      <w:bookmarkStart w:id="2" w:name="_Toc12592"/>
      <w:r>
        <w:rPr>
          <w:rFonts w:hint="eastAsia" w:ascii="黑体" w:hAnsi="黑体" w:eastAsia="黑体" w:cs="黑体"/>
          <w:b w:val="0"/>
          <w:color w:val="auto"/>
          <w:sz w:val="44"/>
          <w:szCs w:val="44"/>
          <w:highlight w:val="none"/>
          <w:lang w:val="zh-CN"/>
        </w:rPr>
        <w:t>前   言</w:t>
      </w:r>
      <w:bookmarkEnd w:id="0"/>
      <w:bookmarkEnd w:id="1"/>
    </w:p>
    <w:p>
      <w:pPr>
        <w:pStyle w:val="44"/>
        <w:spacing w:line="560" w:lineRule="exact"/>
        <w:ind w:firstLine="64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本文件规定了四川省危险废物电子标签的适用范围、设置要求及应用要求。</w:t>
      </w:r>
    </w:p>
    <w:p>
      <w:pPr>
        <w:pStyle w:val="44"/>
        <w:spacing w:line="560" w:lineRule="exact"/>
        <w:ind w:firstLine="64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本文件主要起草单位:四川省固体废物与化学品管理中心、天津中天连盛危废运营技术有限公司、神彩科技股份有限公司、国脉（陕西）环境科技有限公司、航科广软（广州）数字科技有限公司。</w:t>
      </w:r>
    </w:p>
    <w:p>
      <w:pPr>
        <w:pStyle w:val="44"/>
        <w:spacing w:line="560" w:lineRule="exact"/>
        <w:ind w:firstLine="64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本文件主要起草人员：</w:t>
      </w:r>
    </w:p>
    <w:p>
      <w:pPr>
        <w:pStyle w:val="44"/>
        <w:spacing w:line="560" w:lineRule="exact"/>
        <w:ind w:firstLine="64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本文件由四川省生态环境厅批准，</w:t>
      </w:r>
    </w:p>
    <w:p>
      <w:pPr>
        <w:pStyle w:val="44"/>
        <w:spacing w:line="560" w:lineRule="exact"/>
        <w:ind w:firstLine="64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本文件自2023年XX月XX日起实施。</w:t>
      </w:r>
    </w:p>
    <w:p>
      <w:pPr>
        <w:widowControl/>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本文件由四川省生态环境厅解释。</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jc w:val="center"/>
        <w:rPr>
          <w:rFonts w:hint="eastAsia" w:ascii="黑体" w:hAnsi="黑体" w:eastAsia="黑体" w:cs="黑体"/>
          <w:bCs/>
          <w:color w:val="auto"/>
          <w:sz w:val="44"/>
          <w:szCs w:val="44"/>
          <w:highlight w:val="none"/>
          <w:lang w:eastAsia="zh-CN"/>
        </w:rPr>
      </w:pPr>
      <w:r>
        <w:rPr>
          <w:rFonts w:hint="eastAsia" w:ascii="黑体" w:hAnsi="黑体" w:eastAsia="黑体" w:cs="黑体"/>
          <w:bCs/>
          <w:color w:val="auto"/>
          <w:sz w:val="44"/>
          <w:szCs w:val="44"/>
          <w:highlight w:val="none"/>
        </w:rPr>
        <w:t>四川省危险废物电子标签全过程应用管理</w:t>
      </w:r>
      <w:r>
        <w:rPr>
          <w:rFonts w:hint="eastAsia" w:ascii="黑体" w:hAnsi="黑体" w:eastAsia="黑体" w:cs="黑体"/>
          <w:bCs/>
          <w:color w:val="auto"/>
          <w:sz w:val="44"/>
          <w:szCs w:val="44"/>
          <w:highlight w:val="none"/>
          <w:lang w:val="en-US" w:eastAsia="zh-CN"/>
        </w:rPr>
        <w:t>规范</w:t>
      </w:r>
    </w:p>
    <w:p>
      <w:pPr>
        <w:pStyle w:val="3"/>
        <w:spacing w:before="0" w:after="0" w:line="560" w:lineRule="exact"/>
        <w:ind w:left="-363" w:firstLine="560" w:firstLineChars="200"/>
        <w:rPr>
          <w:rFonts w:ascii="Times New Roman" w:hAnsi="Times New Roman" w:eastAsia="黑体" w:cs="Times New Roman"/>
          <w:b w:val="0"/>
          <w:bCs w:val="0"/>
          <w:color w:val="auto"/>
          <w:highlight w:val="none"/>
        </w:rPr>
      </w:pPr>
    </w:p>
    <w:p>
      <w:pPr>
        <w:pStyle w:val="3"/>
        <w:keepNext/>
        <w:keepLines w:val="0"/>
        <w:pageBreakBefore w:val="0"/>
        <w:widowControl w:val="0"/>
        <w:kinsoku/>
        <w:wordWrap/>
        <w:overflowPunct/>
        <w:topLinePunct w:val="0"/>
        <w:autoSpaceDE/>
        <w:autoSpaceDN/>
        <w:bidi w:val="0"/>
        <w:adjustRightInd/>
        <w:snapToGrid/>
        <w:spacing w:before="313" w:beforeLines="100" w:after="313" w:afterLines="100" w:line="240" w:lineRule="auto"/>
        <w:ind w:left="-363"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1 适用范围</w:t>
      </w:r>
      <w:bookmarkEnd w:id="2"/>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本文件适用于四川省内危险废物产生、收集、贮存、转移、利用、处置全过程中电子标签的设置、应用。</w:t>
      </w:r>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医疗废物的识别标志设置按照HJ421中的规定执行，不适用本文件。</w:t>
      </w:r>
    </w:p>
    <w:p>
      <w:pPr>
        <w:pStyle w:val="3"/>
        <w:keepNext/>
        <w:keepLines w:val="0"/>
        <w:pageBreakBefore w:val="0"/>
        <w:widowControl w:val="0"/>
        <w:kinsoku/>
        <w:wordWrap/>
        <w:overflowPunct/>
        <w:topLinePunct w:val="0"/>
        <w:autoSpaceDE/>
        <w:autoSpaceDN/>
        <w:bidi w:val="0"/>
        <w:adjustRightInd/>
        <w:snapToGrid/>
        <w:spacing w:before="313" w:beforeLines="100" w:after="313" w:afterLines="100" w:line="240" w:lineRule="auto"/>
        <w:ind w:left="-363" w:firstLine="640" w:firstLineChars="200"/>
        <w:textAlignment w:val="auto"/>
        <w:rPr>
          <w:rFonts w:hint="eastAsia" w:ascii="黑体" w:hAnsi="黑体" w:eastAsia="黑体" w:cs="黑体"/>
          <w:b w:val="0"/>
          <w:bCs w:val="0"/>
          <w:color w:val="auto"/>
          <w:sz w:val="32"/>
          <w:szCs w:val="32"/>
          <w:highlight w:val="none"/>
        </w:rPr>
      </w:pPr>
      <w:bookmarkStart w:id="3" w:name="_Toc25839"/>
      <w:r>
        <w:rPr>
          <w:rFonts w:hint="eastAsia" w:ascii="黑体" w:hAnsi="黑体" w:eastAsia="黑体" w:cs="黑体"/>
          <w:b w:val="0"/>
          <w:bCs w:val="0"/>
          <w:color w:val="auto"/>
          <w:sz w:val="32"/>
          <w:szCs w:val="32"/>
          <w:highlight w:val="none"/>
        </w:rPr>
        <w:t>2 规范性引用文件</w:t>
      </w:r>
      <w:bookmarkEnd w:id="3"/>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w:t>
      </w:r>
      <w:r>
        <w:rPr>
          <w:rFonts w:hint="eastAsia" w:ascii="宋体" w:hAnsi="宋体" w:eastAsia="宋体" w:cs="宋体"/>
          <w:color w:val="auto"/>
          <w:sz w:val="32"/>
          <w:szCs w:val="32"/>
          <w:highlight w:val="none"/>
          <w:lang w:val="en-US" w:eastAsia="zh-CN"/>
        </w:rPr>
        <w:t>文件</w:t>
      </w:r>
      <w:r>
        <w:rPr>
          <w:rFonts w:hint="eastAsia" w:ascii="宋体" w:hAnsi="宋体" w:eastAsia="宋体" w:cs="宋体"/>
          <w:color w:val="auto"/>
          <w:sz w:val="32"/>
          <w:szCs w:val="32"/>
          <w:highlight w:val="none"/>
        </w:rPr>
        <w:t>引用了下列文件或其中的条款。凡是注明日期的引用文件，仅标注日期的版本适用于本</w:t>
      </w:r>
      <w:r>
        <w:rPr>
          <w:rFonts w:hint="eastAsia" w:ascii="宋体" w:hAnsi="宋体" w:eastAsia="宋体" w:cs="宋体"/>
          <w:color w:val="auto"/>
          <w:sz w:val="32"/>
          <w:szCs w:val="32"/>
          <w:highlight w:val="none"/>
          <w:lang w:val="en-US" w:eastAsia="zh-CN"/>
        </w:rPr>
        <w:t>文件</w:t>
      </w:r>
      <w:r>
        <w:rPr>
          <w:rFonts w:hint="eastAsia" w:ascii="宋体" w:hAnsi="宋体" w:eastAsia="宋体" w:cs="宋体"/>
          <w:color w:val="auto"/>
          <w:sz w:val="32"/>
          <w:szCs w:val="32"/>
          <w:highlight w:val="none"/>
        </w:rPr>
        <w:t>。凡是未注明日期的引用文件，其最新版本（包括所有的修改单）适用于本</w:t>
      </w:r>
      <w:r>
        <w:rPr>
          <w:rFonts w:hint="eastAsia" w:ascii="宋体" w:hAnsi="宋体" w:eastAsia="宋体" w:cs="宋体"/>
          <w:color w:val="auto"/>
          <w:sz w:val="32"/>
          <w:szCs w:val="32"/>
          <w:highlight w:val="none"/>
          <w:lang w:val="en-US" w:eastAsia="zh-CN"/>
        </w:rPr>
        <w:t>文件</w:t>
      </w:r>
      <w:r>
        <w:rPr>
          <w:rFonts w:hint="eastAsia" w:ascii="宋体" w:hAnsi="宋体" w:eastAsia="宋体" w:cs="宋体"/>
          <w:color w:val="auto"/>
          <w:sz w:val="32"/>
          <w:szCs w:val="32"/>
          <w:highlight w:val="none"/>
        </w:rPr>
        <w:t>。</w:t>
      </w:r>
    </w:p>
    <w:p>
      <w:pPr>
        <w:pageBreakBefore w:val="0"/>
        <w:kinsoku/>
        <w:wordWrap/>
        <w:overflowPunct/>
        <w:topLinePunct w:val="0"/>
        <w:bidi w:val="0"/>
        <w:adjustRightInd/>
        <w:snapToGrid/>
        <w:spacing w:line="240" w:lineRule="auto"/>
        <w:ind w:firstLine="320" w:firstLineChars="1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GB190-2009     《危险货物包装标志》</w:t>
      </w:r>
    </w:p>
    <w:p>
      <w:pPr>
        <w:pageBreakBefore w:val="0"/>
        <w:kinsoku/>
        <w:wordWrap/>
        <w:overflowPunct/>
        <w:topLinePunct w:val="0"/>
        <w:bidi w:val="0"/>
        <w:adjustRightInd/>
        <w:snapToGrid/>
        <w:spacing w:line="240" w:lineRule="auto"/>
        <w:ind w:firstLine="320" w:firstLineChars="1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GB/T 17710-2008 《信息技术安全技术校验字符系统》</w:t>
      </w:r>
    </w:p>
    <w:p>
      <w:pPr>
        <w:pageBreakBefore w:val="0"/>
        <w:kinsoku/>
        <w:wordWrap/>
        <w:overflowPunct/>
        <w:topLinePunct w:val="0"/>
        <w:bidi w:val="0"/>
        <w:adjustRightInd/>
        <w:snapToGrid/>
        <w:spacing w:line="240" w:lineRule="auto"/>
        <w:ind w:firstLine="320" w:firstLineChars="1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GB 18597-2023   《危险废物贮存污染控制标准》</w:t>
      </w:r>
    </w:p>
    <w:p>
      <w:pPr>
        <w:pageBreakBefore w:val="0"/>
        <w:kinsoku/>
        <w:wordWrap/>
        <w:overflowPunct/>
        <w:topLinePunct w:val="0"/>
        <w:bidi w:val="0"/>
        <w:adjustRightInd/>
        <w:snapToGrid/>
        <w:spacing w:line="240" w:lineRule="auto"/>
        <w:ind w:firstLine="320" w:firstLineChars="1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GB/T 38920-2020 《危险废物储运单元编码》</w:t>
      </w:r>
    </w:p>
    <w:p>
      <w:pPr>
        <w:pageBreakBefore w:val="0"/>
        <w:kinsoku/>
        <w:wordWrap/>
        <w:overflowPunct/>
        <w:topLinePunct w:val="0"/>
        <w:bidi w:val="0"/>
        <w:adjustRightInd/>
        <w:snapToGrid/>
        <w:spacing w:line="240" w:lineRule="auto"/>
        <w:ind w:firstLine="320" w:firstLineChars="100"/>
        <w:textAlignment w:val="auto"/>
        <w:rPr>
          <w:rFonts w:hint="eastAsia" w:ascii="宋体" w:hAnsi="宋体" w:eastAsia="宋体" w:cs="宋体"/>
          <w:color w:val="auto"/>
          <w:spacing w:val="-20"/>
          <w:sz w:val="32"/>
          <w:szCs w:val="32"/>
          <w:highlight w:val="none"/>
        </w:rPr>
      </w:pPr>
      <w:r>
        <w:rPr>
          <w:rFonts w:hint="eastAsia" w:ascii="宋体" w:hAnsi="宋体" w:eastAsia="宋体" w:cs="宋体"/>
          <w:color w:val="auto"/>
          <w:sz w:val="32"/>
          <w:szCs w:val="32"/>
          <w:highlight w:val="none"/>
        </w:rPr>
        <w:t xml:space="preserve">HJ421          </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pacing w:val="-20"/>
          <w:sz w:val="32"/>
          <w:szCs w:val="32"/>
          <w:highlight w:val="none"/>
        </w:rPr>
        <w:t>《医疗废物专用包装袋、容器和警示标志标准》</w:t>
      </w:r>
    </w:p>
    <w:p>
      <w:pPr>
        <w:pageBreakBefore w:val="0"/>
        <w:kinsoku/>
        <w:wordWrap/>
        <w:overflowPunct/>
        <w:topLinePunct w:val="0"/>
        <w:bidi w:val="0"/>
        <w:adjustRightInd/>
        <w:snapToGrid/>
        <w:spacing w:line="240" w:lineRule="auto"/>
        <w:ind w:firstLine="320" w:firstLineChars="1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HJ608-2017      《排污单位编码规则》</w:t>
      </w:r>
    </w:p>
    <w:p>
      <w:pPr>
        <w:pageBreakBefore w:val="0"/>
        <w:kinsoku/>
        <w:wordWrap/>
        <w:overflowPunct/>
        <w:topLinePunct w:val="0"/>
        <w:bidi w:val="0"/>
        <w:adjustRightInd/>
        <w:snapToGrid/>
        <w:spacing w:line="240" w:lineRule="auto"/>
        <w:ind w:firstLine="320" w:firstLineChars="100"/>
        <w:textAlignment w:val="auto"/>
        <w:rPr>
          <w:rFonts w:hint="eastAsia" w:ascii="宋体" w:hAnsi="宋体" w:eastAsia="宋体" w:cs="宋体"/>
          <w:color w:val="auto"/>
          <w:spacing w:val="-28"/>
          <w:sz w:val="32"/>
          <w:szCs w:val="32"/>
          <w:highlight w:val="none"/>
        </w:rPr>
      </w:pPr>
      <w:r>
        <w:rPr>
          <w:rFonts w:hint="eastAsia" w:ascii="宋体" w:hAnsi="宋体" w:eastAsia="宋体" w:cs="宋体"/>
          <w:color w:val="auto"/>
          <w:sz w:val="32"/>
          <w:szCs w:val="32"/>
          <w:highlight w:val="none"/>
        </w:rPr>
        <w:t xml:space="preserve">HJ1259      </w:t>
      </w:r>
      <w:r>
        <w:rPr>
          <w:rFonts w:hint="eastAsia" w:ascii="宋体" w:hAnsi="宋体" w:eastAsia="宋体" w:cs="宋体"/>
          <w:color w:val="auto"/>
          <w:spacing w:val="-28"/>
          <w:sz w:val="32"/>
          <w:szCs w:val="32"/>
          <w:highlight w:val="none"/>
        </w:rPr>
        <w:t xml:space="preserve">      《危险废物管理计划和管理台账制定技术导则》</w:t>
      </w:r>
    </w:p>
    <w:p>
      <w:pPr>
        <w:pageBreakBefore w:val="0"/>
        <w:kinsoku/>
        <w:wordWrap/>
        <w:overflowPunct/>
        <w:topLinePunct w:val="0"/>
        <w:bidi w:val="0"/>
        <w:adjustRightInd/>
        <w:snapToGrid/>
        <w:spacing w:line="240" w:lineRule="auto"/>
        <w:ind w:firstLine="320" w:firstLineChars="1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HJ 1276-2022     《危险废物识别标志设置技术规范》</w:t>
      </w:r>
    </w:p>
    <w:p>
      <w:pPr>
        <w:pageBreakBefore w:val="0"/>
        <w:kinsoku/>
        <w:wordWrap/>
        <w:overflowPunct/>
        <w:topLinePunct w:val="0"/>
        <w:bidi w:val="0"/>
        <w:adjustRightInd/>
        <w:snapToGrid/>
        <w:spacing w:line="24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《国家危险废物名录》</w:t>
      </w:r>
    </w:p>
    <w:p>
      <w:pPr>
        <w:pStyle w:val="3"/>
        <w:keepNext/>
        <w:keepLines w:val="0"/>
        <w:pageBreakBefore w:val="0"/>
        <w:widowControl w:val="0"/>
        <w:kinsoku/>
        <w:wordWrap/>
        <w:overflowPunct/>
        <w:topLinePunct w:val="0"/>
        <w:autoSpaceDE/>
        <w:autoSpaceDN/>
        <w:bidi w:val="0"/>
        <w:adjustRightInd/>
        <w:snapToGrid/>
        <w:spacing w:before="313" w:beforeLines="100" w:after="313" w:afterLines="100" w:line="240" w:lineRule="auto"/>
        <w:ind w:left="-363" w:firstLine="640" w:firstLineChars="200"/>
        <w:textAlignment w:val="auto"/>
        <w:rPr>
          <w:rFonts w:hint="eastAsia" w:ascii="黑体" w:hAnsi="黑体" w:eastAsia="黑体" w:cs="黑体"/>
          <w:b w:val="0"/>
          <w:bCs w:val="0"/>
          <w:color w:val="auto"/>
          <w:sz w:val="32"/>
          <w:szCs w:val="32"/>
          <w:highlight w:val="none"/>
        </w:rPr>
      </w:pPr>
      <w:bookmarkStart w:id="4" w:name="_Toc15646"/>
      <w:r>
        <w:rPr>
          <w:rFonts w:hint="eastAsia" w:ascii="黑体" w:hAnsi="黑体" w:eastAsia="黑体" w:cs="黑体"/>
          <w:b w:val="0"/>
          <w:bCs w:val="0"/>
          <w:color w:val="auto"/>
          <w:sz w:val="32"/>
          <w:szCs w:val="32"/>
          <w:highlight w:val="none"/>
        </w:rPr>
        <w:t>3 术语及定义</w:t>
      </w:r>
      <w:bookmarkEnd w:id="4"/>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下列术语和定义适用于本文件。 </w:t>
      </w:r>
    </w:p>
    <w:p>
      <w:pPr>
        <w:pStyle w:val="5"/>
        <w:pageBreakBefore w:val="0"/>
        <w:kinsoku/>
        <w:wordWrap/>
        <w:overflowPunct/>
        <w:topLinePunct w:val="0"/>
        <w:bidi w:val="0"/>
        <w:adjustRightInd/>
        <w:snapToGrid/>
        <w:spacing w:before="0" w:after="0" w:line="24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3.1危险废物</w:t>
      </w:r>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列入国家危险废物名录或者根据国家规定的危险废物鉴别标准和鉴别方法认定的具有危险特性的固体废物。 </w:t>
      </w:r>
    </w:p>
    <w:p>
      <w:pPr>
        <w:pStyle w:val="5"/>
        <w:pageBreakBefore w:val="0"/>
        <w:kinsoku/>
        <w:wordWrap/>
        <w:overflowPunct/>
        <w:topLinePunct w:val="0"/>
        <w:bidi w:val="0"/>
        <w:adjustRightInd/>
        <w:snapToGrid/>
        <w:spacing w:before="0" w:after="0" w:line="24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3.2包装容器</w:t>
      </w:r>
    </w:p>
    <w:p>
      <w:pPr>
        <w:pStyle w:val="44"/>
        <w:pageBreakBefore w:val="0"/>
        <w:kinsoku/>
        <w:wordWrap/>
        <w:overflowPunct/>
        <w:topLinePunct w:val="0"/>
        <w:bidi w:val="0"/>
        <w:adjustRightInd/>
        <w:snapToGrid/>
        <w:spacing w:line="240" w:lineRule="auto"/>
        <w:ind w:firstLine="64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用于盛装危险废物的硬质和柔性物品或包装件的总称。</w:t>
      </w:r>
    </w:p>
    <w:p>
      <w:pPr>
        <w:pStyle w:val="5"/>
        <w:pageBreakBefore w:val="0"/>
        <w:kinsoku/>
        <w:wordWrap/>
        <w:overflowPunct/>
        <w:topLinePunct w:val="0"/>
        <w:bidi w:val="0"/>
        <w:adjustRightInd/>
        <w:snapToGrid/>
        <w:spacing w:before="0" w:after="0" w:line="24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3.3电子标签 </w:t>
      </w:r>
    </w:p>
    <w:p>
      <w:pPr>
        <w:pStyle w:val="44"/>
        <w:pageBreakBefore w:val="0"/>
        <w:kinsoku/>
        <w:wordWrap/>
        <w:overflowPunct/>
        <w:topLinePunct w:val="0"/>
        <w:bidi w:val="0"/>
        <w:adjustRightInd/>
        <w:snapToGrid/>
        <w:spacing w:line="240" w:lineRule="auto"/>
        <w:ind w:firstLine="64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具有一定信息存储机制并且能被读写设备识别的数据载体所形成的危险废物标签。设置在危险废物容器或包装物上，由文字、编码和图形符号等组合而成，用于向相关人群传递危险废物特定信息，以警示危险废物潜在的环境危害。包括二维码标签以及带有存储介质的射频标签。</w:t>
      </w:r>
    </w:p>
    <w:p>
      <w:pPr>
        <w:pStyle w:val="5"/>
        <w:pageBreakBefore w:val="0"/>
        <w:kinsoku/>
        <w:wordWrap/>
        <w:overflowPunct/>
        <w:topLinePunct w:val="0"/>
        <w:bidi w:val="0"/>
        <w:adjustRightInd/>
        <w:snapToGrid/>
        <w:spacing w:before="0" w:after="0" w:line="24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3.4数字识别码</w:t>
      </w:r>
    </w:p>
    <w:p>
      <w:pPr>
        <w:pStyle w:val="44"/>
        <w:pageBreakBefore w:val="0"/>
        <w:kinsoku/>
        <w:wordWrap/>
        <w:overflowPunct/>
        <w:topLinePunct w:val="0"/>
        <w:bidi w:val="0"/>
        <w:adjustRightInd/>
        <w:snapToGrid/>
        <w:spacing w:line="240" w:lineRule="auto"/>
        <w:ind w:firstLine="64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基于HJ 1276数字识别码编码规则生成的用于记录危险废物信息的唯一数字代码。</w:t>
      </w:r>
    </w:p>
    <w:p>
      <w:pPr>
        <w:pStyle w:val="5"/>
        <w:pageBreakBefore w:val="0"/>
        <w:kinsoku/>
        <w:wordWrap/>
        <w:overflowPunct/>
        <w:topLinePunct w:val="0"/>
        <w:bidi w:val="0"/>
        <w:adjustRightInd/>
        <w:snapToGrid/>
        <w:spacing w:before="0" w:after="0" w:line="24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3.5“无废四川”系统</w:t>
      </w:r>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四川省固体废物环境管理信息系统，简称“无废四川”系统，具备危险废物台账在线记录、管理计划在线备案、转移联单在线运行、年度情况在线申报等功能，并支持写入和读取电子标签内容信息。</w:t>
      </w:r>
    </w:p>
    <w:p>
      <w:pPr>
        <w:pStyle w:val="5"/>
        <w:pageBreakBefore w:val="0"/>
        <w:kinsoku/>
        <w:wordWrap/>
        <w:overflowPunct/>
        <w:topLinePunct w:val="0"/>
        <w:bidi w:val="0"/>
        <w:adjustRightInd/>
        <w:snapToGrid/>
        <w:spacing w:before="0" w:after="0" w:line="24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3.6危险废物经营单位</w:t>
      </w:r>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持有危险废物经营许可证，从事危险废物收集、贮存、处置、利用经营活动的单位。</w:t>
      </w:r>
    </w:p>
    <w:p>
      <w:pPr>
        <w:pStyle w:val="5"/>
        <w:pageBreakBefore w:val="0"/>
        <w:kinsoku/>
        <w:wordWrap/>
        <w:overflowPunct/>
        <w:topLinePunct w:val="0"/>
        <w:bidi w:val="0"/>
        <w:adjustRightInd/>
        <w:snapToGrid/>
        <w:spacing w:before="0" w:after="0" w:line="24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3.7集中收集试点单位</w:t>
      </w:r>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highlight w:val="none"/>
        </w:rPr>
      </w:pPr>
      <w:r>
        <w:rPr>
          <w:rFonts w:hint="eastAsia" w:ascii="宋体" w:hAnsi="宋体" w:eastAsia="宋体" w:cs="宋体"/>
          <w:color w:val="auto"/>
          <w:sz w:val="32"/>
          <w:szCs w:val="32"/>
          <w:highlight w:val="none"/>
        </w:rPr>
        <w:t>根据《四川省危险废物集中收集贮存试点工作方案》要求建立的，持有危险废物经营许可证，专门从事危险废物收集、贮存经营活动的单位。</w:t>
      </w:r>
    </w:p>
    <w:p>
      <w:pPr>
        <w:pStyle w:val="5"/>
        <w:pageBreakBefore w:val="0"/>
        <w:kinsoku/>
        <w:wordWrap/>
        <w:overflowPunct/>
        <w:topLinePunct w:val="0"/>
        <w:bidi w:val="0"/>
        <w:adjustRightInd/>
        <w:snapToGrid/>
        <w:spacing w:before="0" w:after="0" w:line="24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3.8废铅蓄电池收集单位</w:t>
      </w:r>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highlight w:val="none"/>
        </w:rPr>
      </w:pPr>
      <w:r>
        <w:rPr>
          <w:rFonts w:hint="eastAsia" w:ascii="宋体" w:hAnsi="宋体" w:eastAsia="宋体" w:cs="宋体"/>
          <w:color w:val="auto"/>
          <w:sz w:val="32"/>
          <w:szCs w:val="32"/>
          <w:highlight w:val="none"/>
        </w:rPr>
        <w:t>根据《四川省废铅蓄电池集中收集和跨区域转运制度试点工作实施方案》要求建立的，持有危险废物经营许可证，专门从事废铅蓄电池收集、贮存经营活动的单位。</w:t>
      </w:r>
    </w:p>
    <w:p>
      <w:pPr>
        <w:pStyle w:val="5"/>
        <w:pageBreakBefore w:val="0"/>
        <w:kinsoku/>
        <w:wordWrap/>
        <w:overflowPunct/>
        <w:topLinePunct w:val="0"/>
        <w:bidi w:val="0"/>
        <w:adjustRightInd/>
        <w:snapToGrid/>
        <w:spacing w:before="0" w:after="0" w:line="24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3.9废矿物油收集单位</w:t>
      </w:r>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持有危险废物经营许可证，专门从事废矿物油收集、贮存经营活动的单位。</w:t>
      </w:r>
    </w:p>
    <w:p>
      <w:pPr>
        <w:pStyle w:val="3"/>
        <w:keepNext/>
        <w:keepLines w:val="0"/>
        <w:pageBreakBefore w:val="0"/>
        <w:widowControl w:val="0"/>
        <w:kinsoku/>
        <w:wordWrap/>
        <w:overflowPunct/>
        <w:topLinePunct w:val="0"/>
        <w:autoSpaceDE/>
        <w:autoSpaceDN/>
        <w:bidi w:val="0"/>
        <w:adjustRightInd/>
        <w:snapToGrid/>
        <w:spacing w:before="313" w:beforeLines="100" w:after="313" w:afterLines="100" w:line="240" w:lineRule="auto"/>
        <w:ind w:left="-363" w:firstLine="640" w:firstLineChars="200"/>
        <w:textAlignment w:val="auto"/>
        <w:rPr>
          <w:rFonts w:hint="eastAsia" w:ascii="黑体" w:hAnsi="黑体" w:eastAsia="黑体" w:cs="黑体"/>
          <w:b w:val="0"/>
          <w:bCs w:val="0"/>
          <w:color w:val="auto"/>
          <w:sz w:val="32"/>
          <w:szCs w:val="32"/>
          <w:highlight w:val="none"/>
        </w:rPr>
      </w:pPr>
      <w:bookmarkStart w:id="5" w:name="_Toc27388"/>
      <w:r>
        <w:rPr>
          <w:rFonts w:hint="eastAsia" w:ascii="黑体" w:hAnsi="黑体" w:eastAsia="黑体" w:cs="黑体"/>
          <w:b w:val="0"/>
          <w:bCs w:val="0"/>
          <w:color w:val="auto"/>
          <w:sz w:val="32"/>
          <w:szCs w:val="32"/>
          <w:highlight w:val="none"/>
        </w:rPr>
        <w:t>4 电子标签设置规范</w:t>
      </w:r>
      <w:bookmarkEnd w:id="5"/>
    </w:p>
    <w:p>
      <w:pPr>
        <w:pStyle w:val="5"/>
        <w:pageBreakBefore w:val="0"/>
        <w:kinsoku/>
        <w:wordWrap/>
        <w:overflowPunct/>
        <w:topLinePunct w:val="0"/>
        <w:bidi w:val="0"/>
        <w:adjustRightInd/>
        <w:snapToGrid/>
        <w:spacing w:before="0" w:after="0" w:line="24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4.1标签内容与数字识别码要求</w:t>
      </w:r>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lang w:bidi="ar"/>
        </w:rPr>
        <w:t>危险废物电子标签内容应满足HJ 1276中对危险废物标签内容要求的相关规定，包括</w:t>
      </w:r>
      <w:r>
        <w:rPr>
          <w:rFonts w:hint="eastAsia" w:ascii="宋体" w:hAnsi="宋体" w:eastAsia="宋体" w:cs="宋体"/>
          <w:color w:val="auto"/>
          <w:sz w:val="32"/>
          <w:szCs w:val="32"/>
          <w:highlight w:val="none"/>
        </w:rPr>
        <w:t>废物名称、废物类别、废物代码、废物形态、危险特性（参考附录A）、主要成分、有害成分、注意事项（参考附录C）、产生/收集单位名称、联系人、联系方式、产生日期、废物重量及全过程流转信息。</w:t>
      </w:r>
    </w:p>
    <w:p>
      <w:pPr>
        <w:pageBreakBefore w:val="0"/>
        <w:widowControl/>
        <w:kinsoku/>
        <w:wordWrap/>
        <w:overflowPunct/>
        <w:topLinePunct w:val="0"/>
        <w:bidi w:val="0"/>
        <w:adjustRightInd/>
        <w:snapToGrid/>
        <w:spacing w:line="240" w:lineRule="auto"/>
        <w:ind w:firstLine="640" w:firstLineChars="200"/>
        <w:jc w:val="left"/>
        <w:textAlignment w:val="auto"/>
        <w:rPr>
          <w:rFonts w:hint="eastAsia"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危险废物电子标签数字识别码应按照HJ 1276中8.1至8.5的要求进行编码，二维码的编码数据结构中应包含数字识别码的内容，并实现“一物一码”。</w:t>
      </w:r>
    </w:p>
    <w:p>
      <w:pPr>
        <w:pStyle w:val="5"/>
        <w:pageBreakBefore w:val="0"/>
        <w:kinsoku/>
        <w:wordWrap/>
        <w:overflowPunct/>
        <w:topLinePunct w:val="0"/>
        <w:bidi w:val="0"/>
        <w:adjustRightInd/>
        <w:snapToGrid/>
        <w:spacing w:before="0" w:after="0" w:line="24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4.2标签设置要求</w:t>
      </w:r>
    </w:p>
    <w:p>
      <w:pPr>
        <w:pageBreakBefore w:val="0"/>
        <w:widowControl/>
        <w:kinsoku/>
        <w:wordWrap/>
        <w:overflowPunct/>
        <w:topLinePunct w:val="0"/>
        <w:bidi w:val="0"/>
        <w:adjustRightInd/>
        <w:snapToGrid/>
        <w:spacing w:line="240" w:lineRule="auto"/>
        <w:ind w:firstLine="640" w:firstLineChars="200"/>
        <w:jc w:val="left"/>
        <w:textAlignment w:val="auto"/>
        <w:rPr>
          <w:rFonts w:hint="eastAsia"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危险废物电子标签的颜色、字体、尺寸、材质、印刷与样式应满足HJ 1276中9.1对危险废物识别标志制作的相关规定（参考附录B）。</w:t>
      </w:r>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危险废物电子标签的固定方式应满足HJ 1276中5.3对危险废物标签设置要求的相关规定：</w:t>
      </w:r>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a） 箱类包装：位于包装端面或侧面；</w:t>
      </w:r>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b） 袋类包装：位于包装明显处；</w:t>
      </w:r>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c） 桶类包装：位于桶身或桶盖；</w:t>
      </w:r>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d） 其他包装：位于明显处。</w:t>
      </w:r>
    </w:p>
    <w:p>
      <w:pPr>
        <w:pageBreakBefore w:val="0"/>
        <w:widowControl/>
        <w:kinsoku/>
        <w:wordWrap/>
        <w:overflowPunct/>
        <w:topLinePunct w:val="0"/>
        <w:bidi w:val="0"/>
        <w:adjustRightInd/>
        <w:snapToGrid/>
        <w:spacing w:line="240" w:lineRule="auto"/>
        <w:ind w:firstLine="640" w:firstLineChars="200"/>
        <w:jc w:val="left"/>
        <w:textAlignment w:val="auto"/>
        <w:rPr>
          <w:rFonts w:hint="eastAsia"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企业在设置危险废物电子标签时宜应用新一代信息技术，相关技术包括但不限于射频技术、LPWAN技术（低功耗广域网）、5G技术(第五代移动通信技术)、定位技术、智能传感器、人工智能技术等。其他信息技术的应用，需要与包含二维码的危险废物电子标签共同使用。</w:t>
      </w:r>
    </w:p>
    <w:p>
      <w:pPr>
        <w:pStyle w:val="3"/>
        <w:keepNext/>
        <w:keepLines w:val="0"/>
        <w:pageBreakBefore w:val="0"/>
        <w:widowControl w:val="0"/>
        <w:kinsoku/>
        <w:wordWrap/>
        <w:overflowPunct/>
        <w:topLinePunct w:val="0"/>
        <w:autoSpaceDE/>
        <w:autoSpaceDN/>
        <w:bidi w:val="0"/>
        <w:adjustRightInd/>
        <w:snapToGrid/>
        <w:spacing w:before="313" w:beforeLines="100" w:after="313" w:afterLines="100" w:line="240" w:lineRule="auto"/>
        <w:ind w:left="-363" w:firstLine="640" w:firstLineChars="200"/>
        <w:textAlignment w:val="auto"/>
        <w:rPr>
          <w:rFonts w:hint="eastAsia" w:ascii="黑体" w:hAnsi="黑体" w:eastAsia="黑体" w:cs="黑体"/>
          <w:b w:val="0"/>
          <w:bCs w:val="0"/>
          <w:color w:val="auto"/>
          <w:sz w:val="32"/>
          <w:szCs w:val="32"/>
          <w:highlight w:val="none"/>
        </w:rPr>
      </w:pPr>
      <w:bookmarkStart w:id="6" w:name="_Toc19473"/>
      <w:r>
        <w:rPr>
          <w:rFonts w:hint="eastAsia" w:ascii="黑体" w:hAnsi="黑体" w:eastAsia="黑体" w:cs="黑体"/>
          <w:b w:val="0"/>
          <w:bCs w:val="0"/>
          <w:color w:val="auto"/>
          <w:sz w:val="32"/>
          <w:szCs w:val="32"/>
          <w:highlight w:val="none"/>
        </w:rPr>
        <w:t>5 电子标签应用管理要求</w:t>
      </w:r>
      <w:bookmarkEnd w:id="6"/>
    </w:p>
    <w:p>
      <w:pPr>
        <w:pStyle w:val="5"/>
        <w:pageBreakBefore w:val="0"/>
        <w:kinsoku/>
        <w:wordWrap/>
        <w:overflowPunct/>
        <w:topLinePunct w:val="0"/>
        <w:bidi w:val="0"/>
        <w:adjustRightInd/>
        <w:snapToGrid/>
        <w:spacing w:before="0" w:after="0" w:line="24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5.1危险废物产生单位</w:t>
      </w:r>
    </w:p>
    <w:p>
      <w:pPr>
        <w:pStyle w:val="5"/>
        <w:pageBreakBefore w:val="0"/>
        <w:kinsoku/>
        <w:wordWrap/>
        <w:overflowPunct/>
        <w:topLinePunct w:val="0"/>
        <w:bidi w:val="0"/>
        <w:adjustRightInd/>
        <w:snapToGrid/>
        <w:spacing w:before="0" w:after="0" w:line="24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5.1.1基本要求</w:t>
      </w:r>
    </w:p>
    <w:p>
      <w:pPr>
        <w:pStyle w:val="37"/>
        <w:pageBreakBefore w:val="0"/>
        <w:kinsoku/>
        <w:wordWrap/>
        <w:overflowPunct/>
        <w:topLinePunct w:val="0"/>
        <w:bidi w:val="0"/>
        <w:adjustRightInd/>
        <w:snapToGrid/>
        <w:spacing w:line="240" w:lineRule="auto"/>
        <w:ind w:firstLine="64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危险废物产生单位可以通过以下方式打印标签，经包装容器盛装后，逐个称重，通过“无废四川”系统记录电子台账，使用专用或通用的打印机（参考附录E）打印电子标签并固定到包装容器上。</w:t>
      </w:r>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危险废物贮存期间，电子标签应准确设置、内容完整，无破损、脱落和脏污等影响信息识别的情形。危险废物转运时，危险废物产生单位应逐个核实包装容器上的电子标签，对于包装容器上无电子标签的危险废物，运输单位不应转运。采用罐车转运危险废物的，罐车上无需设置电子标签，但应按照国家有关危险货物运输管理的规定设置其他识别标志。</w:t>
      </w:r>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危险废物产生单位宜在包装容器多个位置设置电子标签，贮存过程中电子标签出现破损、脱落和脏污等影响信息识别的情形时应重新设置电子标签。危险废物产生单位宜使用移动终端、专用或通用扫码设备识别查看危险废物基本信息及全过程流转信息。</w:t>
      </w:r>
    </w:p>
    <w:p>
      <w:pPr>
        <w:pageBreakBefore w:val="0"/>
        <w:kinsoku/>
        <w:wordWrap/>
        <w:overflowPunct/>
        <w:topLinePunct w:val="0"/>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object>
          <v:shape id="_x0000_i1025" o:spt="75" type="#_x0000_t75" style="height:91.3pt;width:442.6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pageBreakBefore w:val="0"/>
        <w:kinsoku/>
        <w:wordWrap/>
        <w:overflowPunct/>
        <w:topLinePunct w:val="0"/>
        <w:bidi w:val="0"/>
        <w:adjustRightInd/>
        <w:snapToGrid/>
        <w:spacing w:line="240" w:lineRule="auto"/>
        <w:jc w:val="center"/>
        <w:textAlignment w:val="auto"/>
        <w:rPr>
          <w:rFonts w:hint="eastAsia" w:ascii="宋体" w:hAnsi="宋体" w:eastAsia="宋体" w:cs="宋体"/>
          <w:b/>
          <w:bCs/>
          <w:color w:val="auto"/>
          <w:sz w:val="24"/>
          <w:szCs w:val="28"/>
          <w:highlight w:val="none"/>
        </w:rPr>
      </w:pPr>
      <w:r>
        <w:rPr>
          <w:rFonts w:hint="eastAsia" w:ascii="宋体" w:hAnsi="宋体" w:eastAsia="宋体" w:cs="宋体"/>
          <w:b/>
          <w:bCs/>
          <w:color w:val="auto"/>
          <w:sz w:val="24"/>
          <w:szCs w:val="28"/>
          <w:highlight w:val="none"/>
        </w:rPr>
        <w:t>图1  危险废物产生单位电子标签应用管理流程图</w:t>
      </w:r>
    </w:p>
    <w:p>
      <w:pPr>
        <w:pStyle w:val="5"/>
        <w:pageBreakBefore w:val="0"/>
        <w:kinsoku/>
        <w:wordWrap/>
        <w:overflowPunct/>
        <w:topLinePunct w:val="0"/>
        <w:bidi w:val="0"/>
        <w:adjustRightInd/>
        <w:snapToGrid/>
        <w:spacing w:before="0" w:after="0" w:line="24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5.1.2特殊要求</w:t>
      </w:r>
    </w:p>
    <w:p>
      <w:pPr>
        <w:pStyle w:val="7"/>
        <w:pageBreakBefore w:val="0"/>
        <w:kinsoku/>
        <w:wordWrap/>
        <w:overflowPunct/>
        <w:topLinePunct w:val="0"/>
        <w:bidi w:val="0"/>
        <w:adjustRightInd/>
        <w:snapToGrid/>
        <w:spacing w:before="0" w:after="0" w:line="240" w:lineRule="auto"/>
        <w:ind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5.1.2.1累加盛装</w:t>
      </w:r>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在同一包装容器内多次盛装液态危险废物的，可以在</w:t>
      </w:r>
      <w:r>
        <w:rPr>
          <w:rFonts w:hint="eastAsia" w:ascii="宋体" w:hAnsi="宋体" w:eastAsia="宋体" w:cs="宋体"/>
          <w:color w:val="auto"/>
          <w:sz w:val="32"/>
          <w:szCs w:val="32"/>
          <w:highlight w:val="none"/>
        </w:rPr>
        <w:t>“无废四川”系统</w:t>
      </w:r>
      <w:r>
        <w:rPr>
          <w:rFonts w:hint="eastAsia" w:ascii="宋体" w:hAnsi="宋体" w:eastAsia="宋体" w:cs="宋体"/>
          <w:color w:val="auto"/>
          <w:kern w:val="0"/>
          <w:sz w:val="32"/>
          <w:szCs w:val="32"/>
          <w:highlight w:val="none"/>
          <w:lang w:bidi="ar"/>
        </w:rPr>
        <w:t>通过累加台账功能实现危险废物重量等信息的更新，包装容器在</w:t>
      </w:r>
      <w:r>
        <w:rPr>
          <w:rFonts w:hint="eastAsia" w:ascii="宋体" w:hAnsi="宋体" w:eastAsia="宋体" w:cs="宋体"/>
          <w:color w:val="auto"/>
          <w:sz w:val="32"/>
          <w:szCs w:val="32"/>
          <w:highlight w:val="none"/>
        </w:rPr>
        <w:t>贮存过程中无需重新设置电子标签，转运时应重新设置电子标签。</w:t>
      </w:r>
    </w:p>
    <w:p>
      <w:pPr>
        <w:pStyle w:val="7"/>
        <w:pageBreakBefore w:val="0"/>
        <w:kinsoku/>
        <w:wordWrap/>
        <w:overflowPunct/>
        <w:topLinePunct w:val="0"/>
        <w:bidi w:val="0"/>
        <w:adjustRightInd/>
        <w:snapToGrid/>
        <w:spacing w:before="0" w:after="0" w:line="240" w:lineRule="auto"/>
        <w:ind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5.1.2.2管道输送</w:t>
      </w:r>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采用管道运输的危险废物，无需设置电子标签，但应按日记录管道输送量，</w:t>
      </w:r>
      <w:r>
        <w:rPr>
          <w:rFonts w:hint="eastAsia" w:ascii="宋体" w:hAnsi="宋体" w:eastAsia="宋体" w:cs="宋体"/>
          <w:color w:val="auto"/>
          <w:sz w:val="32"/>
          <w:szCs w:val="32"/>
          <w:highlight w:val="none"/>
        </w:rPr>
        <w:t>通过“无废四川”系统</w:t>
      </w:r>
      <w:r>
        <w:rPr>
          <w:rFonts w:hint="eastAsia" w:ascii="宋体" w:hAnsi="宋体" w:eastAsia="宋体" w:cs="宋体"/>
          <w:color w:val="auto"/>
          <w:kern w:val="0"/>
          <w:sz w:val="32"/>
          <w:szCs w:val="32"/>
          <w:highlight w:val="none"/>
          <w:lang w:bidi="ar"/>
        </w:rPr>
        <w:t>做好电子台账记录。</w:t>
      </w:r>
    </w:p>
    <w:p>
      <w:pPr>
        <w:pStyle w:val="7"/>
        <w:pageBreakBefore w:val="0"/>
        <w:kinsoku/>
        <w:wordWrap/>
        <w:overflowPunct/>
        <w:topLinePunct w:val="0"/>
        <w:bidi w:val="0"/>
        <w:adjustRightInd/>
        <w:snapToGrid/>
        <w:spacing w:before="0" w:after="0" w:line="240" w:lineRule="auto"/>
        <w:ind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5.1.2.3贮存池、贮存罐贮存液态危险废物</w:t>
      </w:r>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液态危险废物以贮存池、贮存罐等方式贮存的，无需设置电子标签，盛装进入包装容器转运时，应在包装容器上设置电子标签。</w:t>
      </w:r>
    </w:p>
    <w:p>
      <w:pPr>
        <w:pStyle w:val="7"/>
        <w:pageBreakBefore w:val="0"/>
        <w:kinsoku/>
        <w:wordWrap/>
        <w:overflowPunct/>
        <w:topLinePunct w:val="0"/>
        <w:bidi w:val="0"/>
        <w:adjustRightInd/>
        <w:snapToGrid/>
        <w:spacing w:before="0" w:after="0" w:line="240" w:lineRule="auto"/>
        <w:ind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5.1.2.4贮存场散堆贮存固态危险废物</w:t>
      </w:r>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散堆存放在贮存场的大宗固态危险废物，无需设置电子标签，盛装入包装容器转运时，应在包装容器上设置电子标签。</w:t>
      </w:r>
    </w:p>
    <w:p>
      <w:pPr>
        <w:pStyle w:val="7"/>
        <w:pageBreakBefore w:val="0"/>
        <w:kinsoku/>
        <w:wordWrap/>
        <w:overflowPunct/>
        <w:topLinePunct w:val="0"/>
        <w:bidi w:val="0"/>
        <w:adjustRightInd/>
        <w:snapToGrid/>
        <w:spacing w:before="0" w:after="0" w:line="240" w:lineRule="auto"/>
        <w:ind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5.1.2.5易挥发危险废物贮存</w:t>
      </w:r>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贮存过程中因挥发导致重量变化的危险废物，应在</w:t>
      </w:r>
      <w:r>
        <w:rPr>
          <w:rFonts w:hint="eastAsia" w:ascii="宋体" w:hAnsi="宋体" w:eastAsia="宋体" w:cs="宋体"/>
          <w:color w:val="auto"/>
          <w:sz w:val="32"/>
          <w:szCs w:val="32"/>
          <w:highlight w:val="none"/>
        </w:rPr>
        <w:t>“无废四川”系统</w:t>
      </w:r>
      <w:r>
        <w:rPr>
          <w:rFonts w:hint="eastAsia" w:ascii="宋体" w:hAnsi="宋体" w:eastAsia="宋体" w:cs="宋体"/>
          <w:color w:val="auto"/>
          <w:kern w:val="0"/>
          <w:sz w:val="32"/>
          <w:szCs w:val="32"/>
          <w:highlight w:val="none"/>
          <w:lang w:bidi="ar"/>
        </w:rPr>
        <w:t>通过库存修正功能实现危险废物重量等信息的更新，</w:t>
      </w:r>
      <w:r>
        <w:rPr>
          <w:rFonts w:hint="eastAsia" w:ascii="宋体" w:hAnsi="宋体" w:eastAsia="宋体" w:cs="宋体"/>
          <w:color w:val="auto"/>
          <w:sz w:val="32"/>
          <w:szCs w:val="32"/>
          <w:highlight w:val="none"/>
        </w:rPr>
        <w:t>贮存过程中无需重新设置电子标签，出库转运时应逐个称重，修正电子台账数据，并重新设置电子标签。</w:t>
      </w:r>
    </w:p>
    <w:p>
      <w:pPr>
        <w:pStyle w:val="5"/>
        <w:pageBreakBefore w:val="0"/>
        <w:kinsoku/>
        <w:wordWrap/>
        <w:overflowPunct/>
        <w:topLinePunct w:val="0"/>
        <w:bidi w:val="0"/>
        <w:adjustRightInd/>
        <w:snapToGrid/>
        <w:spacing w:before="0" w:after="0" w:line="24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5.2危险废物经营单位</w:t>
      </w:r>
    </w:p>
    <w:p>
      <w:pPr>
        <w:pStyle w:val="5"/>
        <w:pageBreakBefore w:val="0"/>
        <w:kinsoku/>
        <w:wordWrap/>
        <w:overflowPunct/>
        <w:topLinePunct w:val="0"/>
        <w:bidi w:val="0"/>
        <w:adjustRightInd/>
        <w:snapToGrid/>
        <w:spacing w:before="0" w:after="0" w:line="24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5.2.1基本要求</w:t>
      </w:r>
    </w:p>
    <w:p>
      <w:pPr>
        <w:pStyle w:val="37"/>
        <w:pageBreakBefore w:val="0"/>
        <w:kinsoku/>
        <w:wordWrap/>
        <w:overflowPunct/>
        <w:topLinePunct w:val="0"/>
        <w:bidi w:val="0"/>
        <w:adjustRightInd/>
        <w:snapToGrid/>
        <w:spacing w:line="240" w:lineRule="auto"/>
        <w:ind w:firstLine="640"/>
        <w:textAlignment w:val="auto"/>
        <w:rPr>
          <w:rFonts w:hint="eastAsia"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危险废物经营单位（包含集中收集试点单位、废铅蓄电池收集单位、废矿物油收集单位）在经营过程中产生的危险废物，其电子标签的应用管理参照5.1执行。</w:t>
      </w:r>
    </w:p>
    <w:p>
      <w:pPr>
        <w:pStyle w:val="37"/>
        <w:pageBreakBefore w:val="0"/>
        <w:kinsoku/>
        <w:wordWrap/>
        <w:overflowPunct/>
        <w:topLinePunct w:val="0"/>
        <w:bidi w:val="0"/>
        <w:adjustRightInd/>
        <w:snapToGrid/>
        <w:spacing w:line="240" w:lineRule="auto"/>
        <w:ind w:firstLine="640"/>
        <w:textAlignment w:val="auto"/>
        <w:rPr>
          <w:rFonts w:hint="eastAsia"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危险废物经营单位签收转移联单前，应逐一核实拟接收危险废物包装容器上的电子标签，对电子标签脱落的或与实际情况不一致的，应与危险废物产生单位进一步核实有关信息，并按以下方式重新设置电子标签。</w:t>
      </w:r>
    </w:p>
    <w:p>
      <w:pPr>
        <w:pStyle w:val="37"/>
        <w:pageBreakBefore w:val="0"/>
        <w:kinsoku/>
        <w:wordWrap/>
        <w:overflowPunct/>
        <w:topLinePunct w:val="0"/>
        <w:bidi w:val="0"/>
        <w:adjustRightInd/>
        <w:snapToGrid/>
        <w:spacing w:line="240" w:lineRule="auto"/>
        <w:ind w:firstLine="640"/>
        <w:textAlignment w:val="auto"/>
        <w:rPr>
          <w:rFonts w:hint="eastAsia"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a）电子标签脱落的可由危险废物经营单位按照初始信息重新设置电子标签（参考附录D）。</w:t>
      </w:r>
    </w:p>
    <w:p>
      <w:pPr>
        <w:pStyle w:val="37"/>
        <w:pageBreakBefore w:val="0"/>
        <w:kinsoku/>
        <w:wordWrap/>
        <w:overflowPunct/>
        <w:topLinePunct w:val="0"/>
        <w:bidi w:val="0"/>
        <w:adjustRightInd/>
        <w:snapToGrid/>
        <w:spacing w:line="240" w:lineRule="auto"/>
        <w:ind w:firstLine="640"/>
        <w:textAlignment w:val="auto"/>
        <w:rPr>
          <w:rFonts w:hint="eastAsia" w:ascii="宋体" w:hAnsi="宋体" w:eastAsia="宋体" w:cs="宋体"/>
          <w:color w:val="auto"/>
          <w:kern w:val="0"/>
          <w:sz w:val="32"/>
          <w:szCs w:val="32"/>
          <w:highlight w:val="none"/>
          <w:u w:val="single"/>
          <w:lang w:bidi="ar"/>
        </w:rPr>
      </w:pPr>
      <w:r>
        <w:rPr>
          <w:rFonts w:hint="eastAsia" w:ascii="宋体" w:hAnsi="宋体" w:eastAsia="宋体" w:cs="宋体"/>
          <w:color w:val="auto"/>
          <w:kern w:val="0"/>
          <w:sz w:val="32"/>
          <w:szCs w:val="32"/>
          <w:highlight w:val="none"/>
          <w:lang w:bidi="ar"/>
        </w:rPr>
        <w:t>b）电子标签与实际情况不一致的由危险废物产生单位按照正确信息重新发起转移联单，并由危险废物经营单位按照正确信息重新设置电子标签（参考附录D）。</w:t>
      </w:r>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危险废物经营单位接收的危险废物，在贮存过程中不应随意更换、修改电子标签，确保电子标签妥善保存，直至危险废物完成处置利用过程。危险废物经营单位宜使用专用或通用的扫码设备扫码出库，自动生成经营台账</w:t>
      </w:r>
      <w:r>
        <w:rPr>
          <w:rFonts w:hint="eastAsia" w:ascii="宋体" w:hAnsi="宋体" w:eastAsia="宋体" w:cs="宋体"/>
          <w:color w:val="auto"/>
          <w:kern w:val="0"/>
          <w:sz w:val="32"/>
          <w:szCs w:val="32"/>
          <w:highlight w:val="none"/>
          <w:lang w:bidi="ar"/>
        </w:rPr>
        <w:t>（参考附录D）</w:t>
      </w:r>
      <w:r>
        <w:rPr>
          <w:rFonts w:hint="eastAsia" w:ascii="宋体" w:hAnsi="宋体" w:eastAsia="宋体" w:cs="宋体"/>
          <w:color w:val="auto"/>
          <w:sz w:val="32"/>
          <w:szCs w:val="32"/>
          <w:highlight w:val="none"/>
        </w:rPr>
        <w:t>。</w:t>
      </w:r>
    </w:p>
    <w:p>
      <w:pPr>
        <w:pStyle w:val="37"/>
        <w:pageBreakBefore w:val="0"/>
        <w:kinsoku/>
        <w:wordWrap/>
        <w:overflowPunct/>
        <w:topLinePunct w:val="0"/>
        <w:bidi w:val="0"/>
        <w:adjustRightInd/>
        <w:snapToGrid/>
        <w:spacing w:line="240" w:lineRule="auto"/>
        <w:ind w:firstLine="64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为方便运输、贮存，集中收集试点单位、废铅蓄电池收集单位可以对接收的同类危险废物采取“小包并大包”的方式整合打包，重新设置电子标签，重新设置的电子标签二维码信息中应包含原危险废物产生单位信息。具有反应性、易燃性的危险废物不得整合打包。</w:t>
      </w:r>
    </w:p>
    <w:p>
      <w:pPr>
        <w:pStyle w:val="37"/>
        <w:pageBreakBefore w:val="0"/>
        <w:kinsoku/>
        <w:wordWrap/>
        <w:overflowPunct/>
        <w:topLinePunct w:val="0"/>
        <w:bidi w:val="0"/>
        <w:adjustRightInd/>
        <w:snapToGrid/>
        <w:spacing w:line="240" w:lineRule="auto"/>
        <w:jc w:val="center"/>
        <w:textAlignment w:val="auto"/>
        <w:rPr>
          <w:rFonts w:hint="eastAsia" w:ascii="宋体" w:hAnsi="宋体" w:eastAsia="宋体" w:cs="宋体"/>
          <w:b/>
          <w:bCs/>
          <w:color w:val="auto"/>
          <w:sz w:val="24"/>
          <w:szCs w:val="28"/>
          <w:highlight w:val="none"/>
        </w:rPr>
      </w:pPr>
      <w:r>
        <w:rPr>
          <w:rFonts w:hint="eastAsia" w:ascii="宋体" w:hAnsi="宋体" w:eastAsia="宋体" w:cs="宋体"/>
          <w:color w:val="auto"/>
          <w:highlight w:val="none"/>
        </w:rPr>
        <w:object>
          <v:shape id="_x0000_i1026" o:spt="75" type="#_x0000_t75" style="height:126.9pt;width:441.8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r>
        <w:rPr>
          <w:rFonts w:hint="eastAsia" w:ascii="宋体" w:hAnsi="宋体" w:eastAsia="宋体" w:cs="宋体"/>
          <w:b/>
          <w:bCs/>
          <w:color w:val="auto"/>
          <w:sz w:val="24"/>
          <w:szCs w:val="28"/>
          <w:highlight w:val="none"/>
        </w:rPr>
        <w:t>图</w:t>
      </w:r>
      <w:r>
        <w:rPr>
          <w:rFonts w:hint="eastAsia" w:ascii="宋体" w:hAnsi="宋体" w:eastAsia="宋体" w:cs="宋体"/>
          <w:b/>
          <w:bCs/>
          <w:color w:val="auto"/>
          <w:sz w:val="24"/>
          <w:szCs w:val="28"/>
          <w:highlight w:val="none"/>
          <w:lang w:val="en-US" w:eastAsia="zh-CN"/>
        </w:rPr>
        <w:t>2</w:t>
      </w:r>
      <w:r>
        <w:rPr>
          <w:rFonts w:hint="eastAsia" w:ascii="宋体" w:hAnsi="宋体" w:eastAsia="宋体" w:cs="宋体"/>
          <w:b/>
          <w:bCs/>
          <w:color w:val="auto"/>
          <w:sz w:val="24"/>
          <w:szCs w:val="28"/>
          <w:highlight w:val="none"/>
        </w:rPr>
        <w:t xml:space="preserve"> 危险废物经营单位电子标签应用管理流程图</w:t>
      </w:r>
    </w:p>
    <w:p>
      <w:pPr>
        <w:pStyle w:val="5"/>
        <w:pageBreakBefore w:val="0"/>
        <w:kinsoku/>
        <w:wordWrap/>
        <w:overflowPunct/>
        <w:topLinePunct w:val="0"/>
        <w:bidi w:val="0"/>
        <w:adjustRightInd/>
        <w:snapToGrid/>
        <w:spacing w:before="0" w:after="0" w:line="24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5.2.2特殊要求</w:t>
      </w:r>
    </w:p>
    <w:p>
      <w:pPr>
        <w:pStyle w:val="7"/>
        <w:pageBreakBefore w:val="0"/>
        <w:kinsoku/>
        <w:wordWrap/>
        <w:overflowPunct/>
        <w:topLinePunct w:val="0"/>
        <w:bidi w:val="0"/>
        <w:adjustRightInd/>
        <w:snapToGrid/>
        <w:spacing w:before="0" w:after="0" w:line="240" w:lineRule="auto"/>
        <w:ind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5.2.2.1集中收集试点单位</w:t>
      </w:r>
    </w:p>
    <w:p>
      <w:pPr>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年产废量较少，频次较低的危险废物产生单位可由集中收集试点单位指导并提供打印设备，规范设置电子标签。危险废物产生单位在与集中收集试点单位签订的书面合同中应明确电子标签的设置要求。</w:t>
      </w:r>
    </w:p>
    <w:p>
      <w:pPr>
        <w:pStyle w:val="7"/>
        <w:pageBreakBefore w:val="0"/>
        <w:kinsoku/>
        <w:wordWrap/>
        <w:overflowPunct/>
        <w:topLinePunct w:val="0"/>
        <w:bidi w:val="0"/>
        <w:adjustRightInd/>
        <w:snapToGrid/>
        <w:spacing w:before="0" w:after="0" w:line="240" w:lineRule="auto"/>
        <w:ind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5.2.2.2废铅蓄电池收集单位</w:t>
      </w:r>
    </w:p>
    <w:p>
      <w:pPr>
        <w:pageBreakBefore w:val="0"/>
        <w:kinsoku/>
        <w:wordWrap/>
        <w:overflowPunct/>
        <w:topLinePunct w:val="0"/>
        <w:bidi w:val="0"/>
        <w:adjustRightInd/>
        <w:snapToGrid/>
        <w:spacing w:line="240" w:lineRule="auto"/>
        <w:ind w:firstLine="640" w:firstLineChars="200"/>
        <w:textAlignment w:val="auto"/>
        <w:rPr>
          <w:rStyle w:val="45"/>
          <w:rFonts w:hint="eastAsia" w:ascii="宋体" w:hAnsi="宋体" w:eastAsia="宋体" w:cs="宋体"/>
          <w:b w:val="0"/>
          <w:color w:val="auto"/>
          <w:sz w:val="32"/>
          <w:szCs w:val="32"/>
          <w:highlight w:val="none"/>
        </w:rPr>
      </w:pPr>
      <w:r>
        <w:rPr>
          <w:rStyle w:val="45"/>
          <w:rFonts w:hint="eastAsia" w:ascii="宋体" w:hAnsi="宋体" w:eastAsia="宋体" w:cs="宋体"/>
          <w:b w:val="0"/>
          <w:color w:val="auto"/>
          <w:sz w:val="32"/>
          <w:szCs w:val="32"/>
          <w:highlight w:val="none"/>
        </w:rPr>
        <w:t>社会源产生的废铅蓄电池由废铅蓄电池收集单位统一设置电子标签。</w:t>
      </w:r>
    </w:p>
    <w:p>
      <w:pPr>
        <w:pStyle w:val="7"/>
        <w:pageBreakBefore w:val="0"/>
        <w:kinsoku/>
        <w:wordWrap/>
        <w:overflowPunct/>
        <w:topLinePunct w:val="0"/>
        <w:bidi w:val="0"/>
        <w:adjustRightInd/>
        <w:snapToGrid/>
        <w:spacing w:before="0" w:after="0" w:line="240" w:lineRule="auto"/>
        <w:ind w:firstLine="640"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5.2.2.3废矿物油收集单位</w:t>
      </w:r>
    </w:p>
    <w:p>
      <w:pPr>
        <w:pageBreakBefore w:val="0"/>
        <w:kinsoku/>
        <w:wordWrap/>
        <w:overflowPunct/>
        <w:topLinePunct w:val="0"/>
        <w:bidi w:val="0"/>
        <w:adjustRightInd/>
        <w:snapToGrid/>
        <w:spacing w:line="240" w:lineRule="auto"/>
        <w:ind w:firstLine="640" w:firstLineChars="200"/>
        <w:textAlignment w:val="auto"/>
        <w:rPr>
          <w:rStyle w:val="45"/>
          <w:rFonts w:hint="eastAsia" w:ascii="宋体" w:hAnsi="宋体" w:eastAsia="宋体" w:cs="宋体"/>
          <w:b w:val="0"/>
          <w:color w:val="auto"/>
          <w:sz w:val="32"/>
          <w:szCs w:val="32"/>
          <w:highlight w:val="none"/>
        </w:rPr>
      </w:pPr>
      <w:r>
        <w:rPr>
          <w:rStyle w:val="45"/>
          <w:rFonts w:hint="eastAsia" w:ascii="宋体" w:hAnsi="宋体" w:eastAsia="宋体" w:cs="宋体"/>
          <w:b w:val="0"/>
          <w:color w:val="auto"/>
          <w:sz w:val="32"/>
          <w:szCs w:val="32"/>
          <w:highlight w:val="none"/>
        </w:rPr>
        <w:t>废矿物油收集单位以罐车运输废矿物油的，罐车无需设置电子标签，到场后</w:t>
      </w:r>
      <w:r>
        <w:rPr>
          <w:rFonts w:hint="eastAsia" w:ascii="宋体" w:hAnsi="宋体" w:eastAsia="宋体" w:cs="宋体"/>
          <w:color w:val="auto"/>
          <w:kern w:val="0"/>
          <w:sz w:val="32"/>
          <w:szCs w:val="32"/>
          <w:highlight w:val="none"/>
          <w:lang w:bidi="ar"/>
        </w:rPr>
        <w:t>废矿物油以常规包装容器贮存的，应</w:t>
      </w:r>
      <w:r>
        <w:rPr>
          <w:rStyle w:val="45"/>
          <w:rFonts w:hint="eastAsia" w:ascii="宋体" w:hAnsi="宋体" w:eastAsia="宋体" w:cs="宋体"/>
          <w:b w:val="0"/>
          <w:color w:val="auto"/>
          <w:sz w:val="32"/>
          <w:szCs w:val="32"/>
          <w:highlight w:val="none"/>
        </w:rPr>
        <w:t>由废矿物油收集单位统一设置电子标签，到场后废矿物油以贮存罐贮存的，无需设置电子标签。</w:t>
      </w:r>
    </w:p>
    <w:p>
      <w:pPr>
        <w:pStyle w:val="3"/>
        <w:keepNext/>
        <w:keepLines w:val="0"/>
        <w:pageBreakBefore w:val="0"/>
        <w:widowControl w:val="0"/>
        <w:kinsoku/>
        <w:wordWrap/>
        <w:overflowPunct/>
        <w:topLinePunct w:val="0"/>
        <w:autoSpaceDE/>
        <w:autoSpaceDN/>
        <w:bidi w:val="0"/>
        <w:adjustRightInd/>
        <w:snapToGrid/>
        <w:spacing w:before="313" w:beforeLines="100" w:after="313" w:afterLines="100" w:line="240" w:lineRule="auto"/>
        <w:ind w:left="-363" w:firstLine="640" w:firstLineChars="200"/>
        <w:textAlignment w:val="auto"/>
        <w:rPr>
          <w:rFonts w:hint="eastAsia" w:ascii="黑体" w:hAnsi="黑体" w:eastAsia="黑体" w:cs="黑体"/>
          <w:b w:val="0"/>
          <w:bCs w:val="0"/>
          <w:color w:val="auto"/>
          <w:sz w:val="32"/>
          <w:szCs w:val="32"/>
          <w:highlight w:val="none"/>
        </w:rPr>
      </w:pPr>
      <w:bookmarkStart w:id="7" w:name="_Toc32500"/>
      <w:r>
        <w:rPr>
          <w:rFonts w:hint="eastAsia" w:ascii="黑体" w:hAnsi="黑体" w:eastAsia="黑体" w:cs="黑体"/>
          <w:b w:val="0"/>
          <w:bCs w:val="0"/>
          <w:color w:val="auto"/>
          <w:sz w:val="32"/>
          <w:szCs w:val="32"/>
          <w:highlight w:val="none"/>
        </w:rPr>
        <w:t>6  实施与监督</w:t>
      </w:r>
      <w:bookmarkEnd w:id="7"/>
    </w:p>
    <w:p>
      <w:pPr>
        <w:pStyle w:val="5"/>
        <w:pageBreakBefore w:val="0"/>
        <w:kinsoku/>
        <w:wordWrap/>
        <w:overflowPunct/>
        <w:topLinePunct w:val="0"/>
        <w:bidi w:val="0"/>
        <w:adjustRightInd/>
        <w:snapToGrid/>
        <w:spacing w:before="0" w:after="0" w:line="240" w:lineRule="auto"/>
        <w:ind w:firstLine="640" w:firstLineChars="200"/>
        <w:textAlignment w:val="auto"/>
        <w:rPr>
          <w:rFonts w:hint="eastAsia" w:ascii="宋体" w:hAnsi="宋体" w:eastAsia="宋体" w:cs="宋体"/>
          <w:color w:val="auto"/>
          <w:highlight w:val="none"/>
        </w:rPr>
      </w:pPr>
      <w:r>
        <w:rPr>
          <w:rStyle w:val="45"/>
          <w:rFonts w:hint="eastAsia" w:ascii="宋体" w:hAnsi="宋体" w:eastAsia="宋体" w:cs="宋体"/>
          <w:b w:val="0"/>
          <w:bCs/>
          <w:color w:val="auto"/>
          <w:sz w:val="32"/>
          <w:szCs w:val="32"/>
          <w:highlight w:val="none"/>
        </w:rPr>
        <w:t>本文件由县级以上生态环境主管部门负责监督实施。</w:t>
      </w:r>
    </w:p>
    <w:p>
      <w:pPr>
        <w:pageBreakBefore w:val="0"/>
        <w:kinsoku/>
        <w:wordWrap/>
        <w:overflowPunct/>
        <w:topLinePunct w:val="0"/>
        <w:bidi w:val="0"/>
        <w:adjustRightInd/>
        <w:snapToGrid/>
        <w:spacing w:line="240" w:lineRule="auto"/>
        <w:textAlignment w:val="auto"/>
        <w:rPr>
          <w:rFonts w:hint="eastAsia" w:ascii="宋体" w:hAnsi="宋体" w:eastAsia="宋体" w:cs="宋体"/>
          <w:color w:val="auto"/>
          <w:highlight w:val="none"/>
        </w:rPr>
        <w:sectPr>
          <w:footerReference r:id="rId5" w:type="default"/>
          <w:pgSz w:w="11906" w:h="16838"/>
          <w:pgMar w:top="2098" w:right="1474" w:bottom="1984" w:left="1587" w:header="851" w:footer="992" w:gutter="0"/>
          <w:pgNumType w:fmt="decimal"/>
          <w:cols w:space="425" w:num="1"/>
          <w:docGrid w:type="lines" w:linePitch="312" w:charSpace="0"/>
        </w:sectPr>
      </w:pPr>
    </w:p>
    <w:p>
      <w:pPr>
        <w:pStyle w:val="3"/>
        <w:spacing w:before="0" w:after="0" w:line="560" w:lineRule="exact"/>
        <w:jc w:val="center"/>
        <w:rPr>
          <w:rFonts w:ascii="黑体" w:hAnsi="黑体" w:eastAsia="黑体" w:cs="黑体"/>
          <w:b w:val="0"/>
          <w:bCs w:val="0"/>
          <w:color w:val="auto"/>
          <w:highlight w:val="none"/>
        </w:rPr>
      </w:pPr>
      <w:bookmarkStart w:id="8" w:name="_Toc24921"/>
      <w:r>
        <w:rPr>
          <w:rFonts w:hint="eastAsia" w:ascii="黑体" w:hAnsi="黑体" w:eastAsia="黑体" w:cs="黑体"/>
          <w:b w:val="0"/>
          <w:bCs w:val="0"/>
          <w:color w:val="auto"/>
          <w:highlight w:val="none"/>
        </w:rPr>
        <w:t>附录A</w:t>
      </w:r>
      <w:bookmarkEnd w:id="8"/>
    </w:p>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（规范性）</w:t>
      </w:r>
    </w:p>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危险特性警示图形</w:t>
      </w:r>
    </w:p>
    <w:p>
      <w:pPr>
        <w:rPr>
          <w:rFonts w:ascii="Times New Roman" w:hAnsi="Times New Roman" w:eastAsia="黑体" w:cs="Times New Roman"/>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782"/>
        <w:gridCol w:w="2943"/>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782"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危险特性</w:t>
            </w:r>
          </w:p>
        </w:tc>
        <w:tc>
          <w:tcPr>
            <w:tcW w:w="2943"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警示图形</w:t>
            </w:r>
          </w:p>
        </w:tc>
        <w:tc>
          <w:tcPr>
            <w:tcW w:w="2523"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图形颜色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82"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腐蚀性</w:t>
            </w:r>
          </w:p>
        </w:tc>
        <w:tc>
          <w:tcPr>
            <w:tcW w:w="2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0" distR="0">
                  <wp:extent cx="1089660" cy="1106170"/>
                  <wp:effectExtent l="0" t="0" r="15240" b="17780"/>
                  <wp:docPr id="1634595638" name="图片 163459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595638" name="图片 1634595638"/>
                          <pic:cNvPicPr>
                            <a:picLocks noChangeAspect="1"/>
                          </pic:cNvPicPr>
                        </pic:nvPicPr>
                        <pic:blipFill>
                          <a:blip r:embed="rId14"/>
                          <a:stretch>
                            <a:fillRect/>
                          </a:stretch>
                        </pic:blipFill>
                        <pic:spPr>
                          <a:xfrm>
                            <a:off x="0" y="0"/>
                            <a:ext cx="1104910" cy="1121360"/>
                          </a:xfrm>
                          <a:prstGeom prst="rect">
                            <a:avLst/>
                          </a:prstGeom>
                        </pic:spPr>
                      </pic:pic>
                    </a:graphicData>
                  </a:graphic>
                </wp:inline>
              </w:drawing>
            </w:r>
          </w:p>
        </w:tc>
        <w:tc>
          <w:tcPr>
            <w:tcW w:w="252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符号：黑色</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底色：上白下黑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82"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毒性</w:t>
            </w:r>
          </w:p>
        </w:tc>
        <w:tc>
          <w:tcPr>
            <w:tcW w:w="2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0" distR="0">
                  <wp:extent cx="1148715" cy="1119505"/>
                  <wp:effectExtent l="0" t="0" r="13335"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rcRect b="1693"/>
                          <a:stretch>
                            <a:fillRect/>
                          </a:stretch>
                        </pic:blipFill>
                        <pic:spPr>
                          <a:xfrm>
                            <a:off x="0" y="0"/>
                            <a:ext cx="1159871" cy="1130648"/>
                          </a:xfrm>
                          <a:prstGeom prst="rect">
                            <a:avLst/>
                          </a:prstGeom>
                          <a:ln>
                            <a:noFill/>
                          </a:ln>
                        </pic:spPr>
                      </pic:pic>
                    </a:graphicData>
                  </a:graphic>
                </wp:inline>
              </w:drawing>
            </w:r>
          </w:p>
        </w:tc>
        <w:tc>
          <w:tcPr>
            <w:tcW w:w="252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符号：黑色</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底色：白色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82"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易燃性</w:t>
            </w:r>
          </w:p>
        </w:tc>
        <w:tc>
          <w:tcPr>
            <w:tcW w:w="2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0" distR="0">
                  <wp:extent cx="1117600" cy="1109980"/>
                  <wp:effectExtent l="0" t="0" r="6350" b="139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1130936" cy="1123243"/>
                          </a:xfrm>
                          <a:prstGeom prst="rect">
                            <a:avLst/>
                          </a:prstGeom>
                        </pic:spPr>
                      </pic:pic>
                    </a:graphicData>
                  </a:graphic>
                </wp:inline>
              </w:drawing>
            </w:r>
          </w:p>
        </w:tc>
        <w:tc>
          <w:tcPr>
            <w:tcW w:w="252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符号：黑色</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底色：红色（RGB: 255,0,0）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82"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反应性</w:t>
            </w:r>
          </w:p>
        </w:tc>
        <w:tc>
          <w:tcPr>
            <w:tcW w:w="2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0" distR="0">
                  <wp:extent cx="1110615" cy="1099820"/>
                  <wp:effectExtent l="0" t="0" r="13335"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rcRect b="1668"/>
                          <a:stretch>
                            <a:fillRect/>
                          </a:stretch>
                        </pic:blipFill>
                        <pic:spPr>
                          <a:xfrm>
                            <a:off x="0" y="0"/>
                            <a:ext cx="1126261" cy="1115355"/>
                          </a:xfrm>
                          <a:prstGeom prst="rect">
                            <a:avLst/>
                          </a:prstGeom>
                          <a:ln>
                            <a:noFill/>
                          </a:ln>
                        </pic:spPr>
                      </pic:pic>
                    </a:graphicData>
                  </a:graphic>
                </wp:inline>
              </w:drawing>
            </w:r>
          </w:p>
        </w:tc>
        <w:tc>
          <w:tcPr>
            <w:tcW w:w="252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符号：黑色</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底色：黄色（RGB: 255,255,0）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82"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感染性</w:t>
            </w:r>
          </w:p>
        </w:tc>
        <w:tc>
          <w:tcPr>
            <w:tcW w:w="2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0" distR="0">
                  <wp:extent cx="1021080" cy="1021080"/>
                  <wp:effectExtent l="0" t="0" r="762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21080" cy="1021080"/>
                          </a:xfrm>
                          <a:prstGeom prst="rect">
                            <a:avLst/>
                          </a:prstGeom>
                          <a:noFill/>
                          <a:ln>
                            <a:noFill/>
                          </a:ln>
                        </pic:spPr>
                      </pic:pic>
                    </a:graphicData>
                  </a:graphic>
                </wp:inline>
              </w:drawing>
            </w:r>
          </w:p>
        </w:tc>
        <w:tc>
          <w:tcPr>
            <w:tcW w:w="252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符号：黑色</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底色：黄色（RGB: 255,255,0）</w:t>
            </w:r>
          </w:p>
        </w:tc>
      </w:tr>
    </w:tbl>
    <w:p>
      <w:pPr>
        <w:pStyle w:val="3"/>
        <w:spacing w:before="0" w:after="0" w:line="560" w:lineRule="exact"/>
        <w:jc w:val="center"/>
        <w:rPr>
          <w:rFonts w:hint="eastAsia" w:ascii="黑体" w:hAnsi="黑体" w:eastAsia="黑体" w:cs="黑体"/>
          <w:b w:val="0"/>
          <w:bCs w:val="0"/>
          <w:color w:val="auto"/>
          <w:highlight w:val="none"/>
        </w:rPr>
        <w:sectPr>
          <w:pgSz w:w="11906" w:h="16838"/>
          <w:pgMar w:top="2098" w:right="1474" w:bottom="1984" w:left="1587" w:header="851" w:footer="992" w:gutter="0"/>
          <w:pgNumType w:fmt="decimal"/>
          <w:cols w:space="425" w:num="1"/>
          <w:docGrid w:type="lines" w:linePitch="312" w:charSpace="0"/>
        </w:sectPr>
      </w:pPr>
      <w:bookmarkStart w:id="9" w:name="_Toc4272"/>
    </w:p>
    <w:p>
      <w:pPr>
        <w:pStyle w:val="3"/>
        <w:spacing w:before="0" w:after="0" w:line="560" w:lineRule="exact"/>
        <w:jc w:val="center"/>
        <w:rPr>
          <w:rFonts w:ascii="黑体" w:hAnsi="黑体" w:eastAsia="黑体" w:cs="黑体"/>
          <w:b w:val="0"/>
          <w:bCs w:val="0"/>
          <w:color w:val="auto"/>
          <w:highlight w:val="none"/>
        </w:rPr>
      </w:pPr>
      <w:r>
        <w:rPr>
          <w:rFonts w:hint="eastAsia" w:ascii="黑体" w:hAnsi="黑体" w:eastAsia="黑体" w:cs="黑体"/>
          <w:b w:val="0"/>
          <w:bCs w:val="0"/>
          <w:color w:val="auto"/>
          <w:highlight w:val="none"/>
        </w:rPr>
        <w:t>附录B</w:t>
      </w:r>
    </w:p>
    <w:bookmarkEnd w:id="9"/>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（规范性）</w:t>
      </w:r>
    </w:p>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标签样式</w:t>
      </w:r>
    </w:p>
    <w:p>
      <w:pPr>
        <w:rPr>
          <w:rFonts w:ascii="黑体" w:hAnsi="黑体" w:eastAsia="黑体" w:cs="黑体"/>
          <w:color w:val="auto"/>
          <w:sz w:val="32"/>
          <w:szCs w:val="32"/>
          <w:highlight w:val="none"/>
        </w:rPr>
      </w:pPr>
    </w:p>
    <w:p>
      <w:pPr>
        <w:rPr>
          <w:rFonts w:ascii="黑体" w:hAnsi="黑体" w:eastAsia="黑体" w:cs="黑体"/>
          <w:color w:val="auto"/>
          <w:sz w:val="32"/>
          <w:szCs w:val="32"/>
          <w:highlight w:val="none"/>
        </w:rPr>
      </w:pPr>
    </w:p>
    <w:p>
      <w:pPr>
        <w:jc w:val="center"/>
        <w:rPr>
          <w:rFonts w:ascii="Times New Roman" w:hAnsi="Times New Roman" w:eastAsia="楷体" w:cs="Times New Roman"/>
          <w:color w:val="auto"/>
          <w:sz w:val="32"/>
          <w:szCs w:val="32"/>
          <w:highlight w:val="none"/>
        </w:rPr>
      </w:pPr>
      <w:r>
        <w:rPr>
          <w:rFonts w:ascii="Times New Roman" w:hAnsi="Times New Roman" w:eastAsia="楷体" w:cs="Times New Roman"/>
          <w:color w:val="auto"/>
          <w:sz w:val="32"/>
          <w:szCs w:val="32"/>
          <w:highlight w:val="none"/>
        </w:rPr>
        <w:drawing>
          <wp:inline distT="0" distB="0" distL="114300" distR="114300">
            <wp:extent cx="5325110" cy="5325110"/>
            <wp:effectExtent l="0" t="0" r="8890" b="8890"/>
            <wp:docPr id="11" name="图片 11" descr="7501a480ca0910adc4e34738e213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501a480ca0910adc4e34738e2138fd"/>
                    <pic:cNvPicPr>
                      <a:picLocks noChangeAspect="1"/>
                    </pic:cNvPicPr>
                  </pic:nvPicPr>
                  <pic:blipFill>
                    <a:blip r:embed="rId19"/>
                    <a:stretch>
                      <a:fillRect/>
                    </a:stretch>
                  </pic:blipFill>
                  <pic:spPr>
                    <a:xfrm>
                      <a:off x="0" y="0"/>
                      <a:ext cx="5325110" cy="5325110"/>
                    </a:xfrm>
                    <a:prstGeom prst="rect">
                      <a:avLst/>
                    </a:prstGeom>
                  </pic:spPr>
                </pic:pic>
              </a:graphicData>
            </a:graphic>
          </wp:inline>
        </w:drawing>
      </w:r>
      <w:r>
        <w:rPr>
          <w:rFonts w:ascii="Times New Roman" w:hAnsi="Times New Roman" w:eastAsia="楷体" w:cs="Times New Roman"/>
          <w:color w:val="auto"/>
          <w:sz w:val="32"/>
          <w:szCs w:val="32"/>
          <w:highlight w:val="none"/>
        </w:rPr>
        <w:br w:type="page"/>
      </w:r>
    </w:p>
    <w:p>
      <w:pPr>
        <w:pStyle w:val="3"/>
        <w:spacing w:before="0" w:after="0" w:line="560" w:lineRule="exact"/>
        <w:jc w:val="center"/>
        <w:rPr>
          <w:rFonts w:ascii="黑体" w:hAnsi="黑体" w:eastAsia="黑体" w:cs="黑体"/>
          <w:b w:val="0"/>
          <w:bCs w:val="0"/>
          <w:color w:val="auto"/>
          <w:highlight w:val="none"/>
        </w:rPr>
      </w:pPr>
      <w:bookmarkStart w:id="10" w:name="_Toc26632"/>
      <w:r>
        <w:rPr>
          <w:rFonts w:hint="eastAsia" w:ascii="黑体" w:hAnsi="黑体" w:eastAsia="黑体" w:cs="黑体"/>
          <w:b w:val="0"/>
          <w:bCs w:val="0"/>
          <w:color w:val="auto"/>
          <w:highlight w:val="none"/>
        </w:rPr>
        <w:t>附录C</w:t>
      </w:r>
    </w:p>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（资料性）</w:t>
      </w:r>
    </w:p>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危险废物标签常用的注意事项用语</w:t>
      </w:r>
      <w:bookmarkEnd w:id="10"/>
    </w:p>
    <w:p>
      <w:pPr>
        <w:rPr>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353"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推荐用语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必须锁紧。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放在阴凉地方。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切勿靠近住所。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容器必须盖紧。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容器必须保持干燥。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容器必须放在通风的地方。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切勿将容器密封。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切勿靠近食物、饮品及动物饲料。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切勿靠近 （须指定互不相容的物质）。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切勿受热。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切勿近火，不准吸烟。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切勿靠近易燃物质。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处理及打开容器时，应小心。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存放温度不超过摄氏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 保持湿润。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只可放在原用的容器内。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切勿与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只可放在通风的地方。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使用时严禁饮食。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使用时严禁吸烟。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切勿吸入尘埃。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切勿吸入气体（烟雾、蒸气、喷雾或其他）。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避免沾及皮肤。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避免沾及眼睛。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切勿倒入水渠。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切勿加水。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防止静电发生。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避免震荡和摩擦。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穿上适当防护服。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戴上防护手套。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如通风不足，则须配戴呼吸器。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配戴护眼、护面用具。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 （须予指定）来清理受这种物质污染的地面及物件。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遇到火警时，使用 灭火设备，切勿使用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如沾及眼睛，立即用大量清水来清洗，并尽快就医诊治。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所有受污染的衣物应立即脱掉。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沾及皮肤后，立即用大量（指定液来清洗）。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容器必须锁紧，存在阴凉通风的地方。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存放在阴凉通风的地方，切勿靠近 （须指明互不相容的物质）。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容器必须盖紧，保持干燥。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只可放在原用的容器内，并放在阴凉通风的地方，切勿靠近 （须指明不互不相容的物质）。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容器必须盖紧，并存放在通风的地方。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使用时严禁饮食或吸烟。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避免沾及皮肤和眼睛。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p>
        </w:tc>
        <w:tc>
          <w:tcPr>
            <w:tcW w:w="7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穿上适当的防护服和戴上适当防护手套。</w:t>
            </w:r>
          </w:p>
        </w:tc>
      </w:tr>
    </w:tbl>
    <w:p>
      <w:pPr>
        <w:rPr>
          <w:color w:val="auto"/>
          <w:highlight w:val="none"/>
        </w:rPr>
      </w:pPr>
      <w:r>
        <w:rPr>
          <w:color w:val="auto"/>
          <w:highlight w:val="none"/>
        </w:rPr>
        <w:br w:type="page"/>
      </w:r>
    </w:p>
    <w:p>
      <w:pPr>
        <w:pStyle w:val="3"/>
        <w:spacing w:before="0" w:after="0" w:line="560" w:lineRule="exact"/>
        <w:jc w:val="center"/>
        <w:rPr>
          <w:rFonts w:ascii="黑体" w:hAnsi="黑体" w:eastAsia="黑体" w:cs="黑体"/>
          <w:b w:val="0"/>
          <w:bCs w:val="0"/>
          <w:color w:val="auto"/>
          <w:highlight w:val="none"/>
        </w:rPr>
      </w:pPr>
      <w:bookmarkStart w:id="11" w:name="_Toc14098"/>
      <w:r>
        <w:rPr>
          <w:rFonts w:hint="eastAsia" w:ascii="黑体" w:hAnsi="黑体" w:eastAsia="黑体" w:cs="黑体"/>
          <w:b w:val="0"/>
          <w:bCs w:val="0"/>
          <w:color w:val="auto"/>
          <w:highlight w:val="none"/>
        </w:rPr>
        <w:t>附录D</w:t>
      </w:r>
    </w:p>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（资料性）</w:t>
      </w:r>
    </w:p>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无废四川系统接口清单</w:t>
      </w:r>
      <w:bookmarkEnd w:id="11"/>
    </w:p>
    <w:p>
      <w:pPr>
        <w:rPr>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761"/>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761"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接口名称</w:t>
            </w:r>
          </w:p>
        </w:tc>
        <w:tc>
          <w:tcPr>
            <w:tcW w:w="5607"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接口说明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61"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危废产生称重申报接口</w:t>
            </w:r>
          </w:p>
        </w:tc>
        <w:tc>
          <w:tcPr>
            <w:tcW w:w="5607" w:type="dxa"/>
            <w:vAlign w:val="center"/>
          </w:tcPr>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危险废物产生后，对危险废物进行称重；</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使用物联网终端设备或无废四川，根据电子标签生成规则生成电子标签信息，通过称重接口将称重信息和标签信息上传至无废四川。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61"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取消称重接口</w:t>
            </w:r>
          </w:p>
        </w:tc>
        <w:tc>
          <w:tcPr>
            <w:tcW w:w="5607" w:type="dxa"/>
            <w:vAlign w:val="center"/>
          </w:tcPr>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通过该接口删除错误数据，删除后可调用称重接口重新上传；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适用于删除错误的危险废物产生登记信息。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61"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数字化标签打印接口</w:t>
            </w:r>
          </w:p>
        </w:tc>
        <w:tc>
          <w:tcPr>
            <w:tcW w:w="5607" w:type="dxa"/>
            <w:vAlign w:val="center"/>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获取电子标签上的所有危险废物信息，用于电子标签打印。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61"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出库申报接口</w:t>
            </w:r>
          </w:p>
        </w:tc>
        <w:tc>
          <w:tcPr>
            <w:tcW w:w="5607" w:type="dxa"/>
            <w:vAlign w:val="center"/>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危险废物</w:t>
            </w:r>
            <w:r>
              <w:rPr>
                <w:rFonts w:hint="eastAsia" w:ascii="宋体" w:hAnsi="宋体" w:eastAsia="宋体" w:cs="宋体"/>
                <w:color w:val="auto"/>
                <w:sz w:val="24"/>
                <w:szCs w:val="24"/>
                <w:highlight w:val="none"/>
              </w:rPr>
              <w:t>包装物出库时，调用出库接口上传包装物信息和出库类型信息，支持批量出库；</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适用于危险废物的外运出库和处置利用出库。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61"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取消出库申报接口</w:t>
            </w:r>
          </w:p>
        </w:tc>
        <w:tc>
          <w:tcPr>
            <w:tcW w:w="5607" w:type="dxa"/>
            <w:vAlign w:val="center"/>
          </w:tcPr>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通过该接口将待出库数据退回入库；</w:t>
            </w:r>
          </w:p>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61"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库存调整接口</w:t>
            </w:r>
          </w:p>
        </w:tc>
        <w:tc>
          <w:tcPr>
            <w:tcW w:w="5607" w:type="dxa"/>
            <w:vAlign w:val="center"/>
          </w:tcPr>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易挥发的危险废物出库时需要二次称重，称重后重量有差异时，调用该接口更新包装物重量，不更新数字识别码；</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适用于危险废物的重量更新。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761"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标签补打接口</w:t>
            </w:r>
          </w:p>
        </w:tc>
        <w:tc>
          <w:tcPr>
            <w:tcW w:w="5607" w:type="dxa"/>
            <w:vAlign w:val="center"/>
          </w:tcPr>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在原标签遗失、损毁情况下由经营单位按原标签信息进行补打。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61"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自行利用处置台账接口</w:t>
            </w:r>
          </w:p>
        </w:tc>
        <w:tc>
          <w:tcPr>
            <w:tcW w:w="5607" w:type="dxa"/>
            <w:vAlign w:val="center"/>
          </w:tcPr>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需自行利用处置出库的，调用此接口生成自行利用处置台账。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61"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经营台账接口</w:t>
            </w:r>
          </w:p>
        </w:tc>
        <w:tc>
          <w:tcPr>
            <w:tcW w:w="5607" w:type="dxa"/>
            <w:vAlign w:val="center"/>
          </w:tcPr>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经营单位利用处置出库的，调用此接口生成经营台账。</w:t>
            </w:r>
          </w:p>
        </w:tc>
      </w:tr>
    </w:tbl>
    <w:p>
      <w:pPr>
        <w:pStyle w:val="3"/>
        <w:rPr>
          <w:color w:val="auto"/>
          <w:highlight w:val="none"/>
        </w:rPr>
        <w:sectPr>
          <w:footerReference r:id="rId6" w:type="default"/>
          <w:pgSz w:w="11906" w:h="16838"/>
          <w:pgMar w:top="2098" w:right="1474" w:bottom="1984" w:left="1587" w:header="851" w:footer="992" w:gutter="0"/>
          <w:pgNumType w:fmt="decimal"/>
          <w:cols w:space="425" w:num="1"/>
          <w:docGrid w:type="lines" w:linePitch="312" w:charSpace="0"/>
        </w:sectPr>
      </w:pPr>
      <w:bookmarkStart w:id="12" w:name="_Toc31537"/>
    </w:p>
    <w:p>
      <w:pPr>
        <w:pStyle w:val="3"/>
        <w:spacing w:before="0" w:after="0" w:line="560" w:lineRule="exact"/>
        <w:jc w:val="center"/>
        <w:rPr>
          <w:rFonts w:ascii="黑体" w:hAnsi="黑体" w:eastAsia="黑体" w:cs="黑体"/>
          <w:b w:val="0"/>
          <w:bCs w:val="0"/>
          <w:color w:val="auto"/>
          <w:highlight w:val="none"/>
        </w:rPr>
      </w:pPr>
      <w:r>
        <w:rPr>
          <w:rFonts w:hint="eastAsia" w:ascii="黑体" w:hAnsi="黑体" w:eastAsia="黑体" w:cs="黑体"/>
          <w:b w:val="0"/>
          <w:bCs w:val="0"/>
          <w:color w:val="auto"/>
          <w:highlight w:val="none"/>
        </w:rPr>
        <w:t>附录E</w:t>
      </w:r>
    </w:p>
    <w:p>
      <w:pPr>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（资料性）</w:t>
      </w:r>
    </w:p>
    <w:p>
      <w:pPr>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标签打印机参考功能</w:t>
      </w:r>
      <w:bookmarkEnd w:id="12"/>
    </w:p>
    <w:p>
      <w:pPr>
        <w:snapToGrid w:val="0"/>
        <w:ind w:firstLine="480" w:firstLineChars="200"/>
        <w:rPr>
          <w:rFonts w:hint="eastAsia" w:ascii="Times New Roman" w:hAnsi="Times New Roman" w:eastAsia="仿宋_GB2312" w:cs="Times New Roman"/>
          <w:color w:val="auto"/>
          <w:sz w:val="24"/>
          <w:szCs w:val="24"/>
          <w:highlight w:val="none"/>
        </w:rPr>
      </w:pPr>
    </w:p>
    <w:p>
      <w:pPr>
        <w:snapToGrid w:val="0"/>
        <w:ind w:firstLine="480" w:firstLineChars="200"/>
        <w:rPr>
          <w:rFonts w:hint="eastAsia" w:ascii="Times New Roman" w:hAnsi="Times New Roman" w:eastAsia="仿宋_GB2312" w:cs="Times New Roman"/>
          <w:color w:val="auto"/>
          <w:sz w:val="24"/>
          <w:szCs w:val="24"/>
          <w:highlight w:val="none"/>
        </w:rPr>
      </w:pPr>
    </w:p>
    <w:p>
      <w:pPr>
        <w:snapToGrid w:val="0"/>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危险废物标签打印应满足HJ 1276中9.1对危险废物识别标志制作的相关规定</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打印机应确保打印出的标签完整清晰，尺寸大小与包装物相匹配。打印机的选择参考以下要求：</w:t>
      </w:r>
    </w:p>
    <w:p>
      <w:pPr>
        <w:pStyle w:val="37"/>
        <w:numPr>
          <w:ilvl w:val="0"/>
          <w:numId w:val="0"/>
        </w:numPr>
        <w:snapToGrid w:val="0"/>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1.</w:t>
      </w:r>
      <w:r>
        <w:rPr>
          <w:rFonts w:hint="default" w:ascii="Times New Roman" w:hAnsi="Times New Roman" w:eastAsia="宋体" w:cs="Times New Roman"/>
          <w:sz w:val="24"/>
        </w:rPr>
        <w:t>标签打印机可以选用激光、针式、热转印、热敏和喷墨等类型的打印机；</w:t>
      </w:r>
    </w:p>
    <w:p>
      <w:pPr>
        <w:pStyle w:val="37"/>
        <w:numPr>
          <w:ilvl w:val="0"/>
          <w:numId w:val="0"/>
        </w:numPr>
        <w:snapToGrid w:val="0"/>
        <w:ind w:left="480" w:leftChars="0"/>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危险废物标签打印的油墨应均匀，图案和文字应清晰、完整，使用热敏打印机打印的标签，要求字迹寿命不低于1年；</w:t>
      </w:r>
    </w:p>
    <w:p>
      <w:pPr>
        <w:pStyle w:val="37"/>
        <w:numPr>
          <w:ilvl w:val="0"/>
          <w:numId w:val="0"/>
        </w:numPr>
        <w:snapToGrid w:val="0"/>
        <w:ind w:left="480" w:leftChars="0"/>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3.</w:t>
      </w:r>
      <w:r>
        <w:rPr>
          <w:rFonts w:hint="default" w:ascii="Times New Roman" w:hAnsi="Times New Roman" w:eastAsia="宋体" w:cs="Times New Roman"/>
          <w:sz w:val="24"/>
        </w:rPr>
        <w:t>标签打印机打印的光学分辨率要求不低于200*200dpi；</w:t>
      </w:r>
    </w:p>
    <w:p>
      <w:pPr>
        <w:pStyle w:val="37"/>
        <w:numPr>
          <w:ilvl w:val="0"/>
          <w:numId w:val="0"/>
        </w:numPr>
        <w:snapToGrid w:val="0"/>
        <w:ind w:left="480" w:leftChars="0"/>
        <w:rPr>
          <w:rFonts w:hint="eastAsia" w:eastAsia="宋体"/>
          <w:color w:val="auto"/>
          <w:sz w:val="32"/>
          <w:szCs w:val="32"/>
          <w:highlight w:val="none"/>
          <w:lang w:eastAsia="zh-CN"/>
        </w:rPr>
      </w:pPr>
      <w:r>
        <w:rPr>
          <w:rFonts w:hint="default" w:ascii="Times New Roman" w:hAnsi="Times New Roman" w:eastAsia="宋体" w:cs="Times New Roman"/>
          <w:sz w:val="24"/>
          <w:lang w:val="en-US" w:eastAsia="zh-CN"/>
        </w:rPr>
        <w:t>4.</w:t>
      </w:r>
      <w:r>
        <w:rPr>
          <w:rFonts w:hint="default" w:ascii="Times New Roman" w:hAnsi="Times New Roman" w:eastAsia="宋体" w:cs="Times New Roman"/>
          <w:sz w:val="24"/>
        </w:rPr>
        <w:t>危险废物标签所选用的材质宜具有一定的耐用性和防水性，使用喷墨打印机打</w:t>
      </w:r>
      <w:bookmarkStart w:id="13" w:name="_GoBack"/>
      <w:bookmarkEnd w:id="13"/>
      <w:r>
        <w:rPr>
          <w:rFonts w:hint="default" w:ascii="Times New Roman" w:hAnsi="Times New Roman" w:eastAsia="宋体" w:cs="Times New Roman"/>
          <w:sz w:val="24"/>
        </w:rPr>
        <w:t>印的标签，应外加防水塑料袋或塑封</w:t>
      </w:r>
      <w:r>
        <w:rPr>
          <w:rFonts w:hint="eastAsia" w:eastAsia="宋体" w:cs="Times New Roman"/>
          <w:sz w:val="24"/>
          <w:lang w:eastAsia="zh-CN"/>
        </w:rPr>
        <w:t>。</w:t>
      </w:r>
    </w:p>
    <w:sectPr>
      <w:headerReference r:id="rId7" w:type="default"/>
      <w:footerReference r:id="rId8" w:type="default"/>
      <w:pgSz w:w="11906" w:h="16838"/>
      <w:pgMar w:top="2098" w:right="1474" w:bottom="1247" w:left="1588" w:header="851" w:footer="992" w:gutter="0"/>
      <w:pgNumType w:fmt="decimal"/>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_GBK">
    <w:altName w:val="微软雅黑"/>
    <w:panose1 w:val="03000509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txbxContent>
              </v:textbox>
            </v:shape>
          </w:pict>
        </mc:Fallback>
      </mc:AlternateContent>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sz w:val="28"/>
                        <w:szCs w:val="28"/>
                      </w:rPr>
                      <w:t xml:space="preserve"> </w:t>
                    </w:r>
                    <w:r>
                      <w:t>—</w:t>
                    </w: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sz w:val="28"/>
                        <w:szCs w:val="28"/>
                      </w:rPr>
                      <w:t xml:space="preserve"> </w:t>
                    </w:r>
                    <w:r>
                      <w:t>—</w:t>
                    </w:r>
                  </w:p>
                </w:txbxContent>
              </v:textbox>
            </v:shape>
          </w:pict>
        </mc:Fallback>
      </mc:AlternateContent>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sz w:val="28"/>
        <w:szCs w:val="28"/>
      </w:rPr>
      <w:t xml:space="preserve"> </w:t>
    </w:r>
    <w:r>
      <w:t>—</w:t>
    </w:r>
  </w:p>
  <w:p>
    <w:pPr>
      <w:pStyle w:val="15"/>
    </w:pPr>
    <w: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1ZjU1ZTJlNTI5ZWIzZTU4ZWY2NjBmZWI2YWEyM2MifQ=="/>
    <w:docVar w:name="KGWebUrl" w:val="http://10.194.22.238:8089/seeyon/officeservlet"/>
  </w:docVars>
  <w:rsids>
    <w:rsidRoot w:val="C3ECF1D2"/>
    <w:rsid w:val="00001BF4"/>
    <w:rsid w:val="000204B8"/>
    <w:rsid w:val="0003202D"/>
    <w:rsid w:val="000506B5"/>
    <w:rsid w:val="00072616"/>
    <w:rsid w:val="00074C8E"/>
    <w:rsid w:val="000B6742"/>
    <w:rsid w:val="000F3695"/>
    <w:rsid w:val="000F3736"/>
    <w:rsid w:val="000F77B9"/>
    <w:rsid w:val="00115508"/>
    <w:rsid w:val="00121BAC"/>
    <w:rsid w:val="00136F9B"/>
    <w:rsid w:val="00145649"/>
    <w:rsid w:val="00146E80"/>
    <w:rsid w:val="001545B4"/>
    <w:rsid w:val="0018755F"/>
    <w:rsid w:val="001C11F6"/>
    <w:rsid w:val="001D2E81"/>
    <w:rsid w:val="001E1196"/>
    <w:rsid w:val="001F13F0"/>
    <w:rsid w:val="001F148A"/>
    <w:rsid w:val="00204C53"/>
    <w:rsid w:val="00234334"/>
    <w:rsid w:val="00241BD5"/>
    <w:rsid w:val="00252FEA"/>
    <w:rsid w:val="00255FE2"/>
    <w:rsid w:val="0026499A"/>
    <w:rsid w:val="00284D2D"/>
    <w:rsid w:val="00293BD1"/>
    <w:rsid w:val="00295A5D"/>
    <w:rsid w:val="002A1A87"/>
    <w:rsid w:val="002B3881"/>
    <w:rsid w:val="002B55D3"/>
    <w:rsid w:val="002C2669"/>
    <w:rsid w:val="002F2F0F"/>
    <w:rsid w:val="003023A2"/>
    <w:rsid w:val="00324A3E"/>
    <w:rsid w:val="00337582"/>
    <w:rsid w:val="00341289"/>
    <w:rsid w:val="003651D6"/>
    <w:rsid w:val="00366380"/>
    <w:rsid w:val="003911D5"/>
    <w:rsid w:val="00394648"/>
    <w:rsid w:val="003C41F6"/>
    <w:rsid w:val="003C4423"/>
    <w:rsid w:val="003F7D1C"/>
    <w:rsid w:val="00424340"/>
    <w:rsid w:val="00442D0A"/>
    <w:rsid w:val="00447FEE"/>
    <w:rsid w:val="00460AAC"/>
    <w:rsid w:val="0046153C"/>
    <w:rsid w:val="0049105F"/>
    <w:rsid w:val="004A347C"/>
    <w:rsid w:val="004B3D30"/>
    <w:rsid w:val="004C0483"/>
    <w:rsid w:val="004C3465"/>
    <w:rsid w:val="004D6531"/>
    <w:rsid w:val="004D6B68"/>
    <w:rsid w:val="004F2F01"/>
    <w:rsid w:val="005336A5"/>
    <w:rsid w:val="00541196"/>
    <w:rsid w:val="005542CF"/>
    <w:rsid w:val="00554631"/>
    <w:rsid w:val="00593159"/>
    <w:rsid w:val="005961DD"/>
    <w:rsid w:val="005C6F27"/>
    <w:rsid w:val="005D4914"/>
    <w:rsid w:val="005F1609"/>
    <w:rsid w:val="005F783C"/>
    <w:rsid w:val="006077F9"/>
    <w:rsid w:val="00611FE5"/>
    <w:rsid w:val="0061767D"/>
    <w:rsid w:val="00651A15"/>
    <w:rsid w:val="00663D87"/>
    <w:rsid w:val="00680913"/>
    <w:rsid w:val="00691DDD"/>
    <w:rsid w:val="006A6F68"/>
    <w:rsid w:val="006D724D"/>
    <w:rsid w:val="006E0413"/>
    <w:rsid w:val="006F5C77"/>
    <w:rsid w:val="007202C0"/>
    <w:rsid w:val="00720F95"/>
    <w:rsid w:val="00750D5A"/>
    <w:rsid w:val="00774585"/>
    <w:rsid w:val="00777129"/>
    <w:rsid w:val="007F6B07"/>
    <w:rsid w:val="0080136C"/>
    <w:rsid w:val="00823C96"/>
    <w:rsid w:val="008244C2"/>
    <w:rsid w:val="008533A8"/>
    <w:rsid w:val="00862F6D"/>
    <w:rsid w:val="008644E5"/>
    <w:rsid w:val="00876FC9"/>
    <w:rsid w:val="008D2FE6"/>
    <w:rsid w:val="008D2FEF"/>
    <w:rsid w:val="008E75ED"/>
    <w:rsid w:val="00906521"/>
    <w:rsid w:val="00916896"/>
    <w:rsid w:val="009350B0"/>
    <w:rsid w:val="00971006"/>
    <w:rsid w:val="00974E77"/>
    <w:rsid w:val="009A0ED3"/>
    <w:rsid w:val="009B16AC"/>
    <w:rsid w:val="009C2C13"/>
    <w:rsid w:val="009D2880"/>
    <w:rsid w:val="009E41EE"/>
    <w:rsid w:val="00A10753"/>
    <w:rsid w:val="00A74774"/>
    <w:rsid w:val="00A861D9"/>
    <w:rsid w:val="00AA1F40"/>
    <w:rsid w:val="00AB3C96"/>
    <w:rsid w:val="00AC06E7"/>
    <w:rsid w:val="00AD526D"/>
    <w:rsid w:val="00AD744D"/>
    <w:rsid w:val="00B01346"/>
    <w:rsid w:val="00B12268"/>
    <w:rsid w:val="00B31641"/>
    <w:rsid w:val="00B47E85"/>
    <w:rsid w:val="00B55273"/>
    <w:rsid w:val="00B624B9"/>
    <w:rsid w:val="00B76B24"/>
    <w:rsid w:val="00BB460C"/>
    <w:rsid w:val="00BB73A4"/>
    <w:rsid w:val="00BB7C4E"/>
    <w:rsid w:val="00BD210A"/>
    <w:rsid w:val="00BD2FD9"/>
    <w:rsid w:val="00C07BB9"/>
    <w:rsid w:val="00C07ED2"/>
    <w:rsid w:val="00C15790"/>
    <w:rsid w:val="00C608AC"/>
    <w:rsid w:val="00C8375B"/>
    <w:rsid w:val="00CA5BBF"/>
    <w:rsid w:val="00CB6C90"/>
    <w:rsid w:val="00CB7514"/>
    <w:rsid w:val="00CC61D0"/>
    <w:rsid w:val="00CE66DE"/>
    <w:rsid w:val="00CF7182"/>
    <w:rsid w:val="00D0728C"/>
    <w:rsid w:val="00D10C25"/>
    <w:rsid w:val="00D16A35"/>
    <w:rsid w:val="00D264C6"/>
    <w:rsid w:val="00D4511B"/>
    <w:rsid w:val="00D858BF"/>
    <w:rsid w:val="00D87D22"/>
    <w:rsid w:val="00DC61C8"/>
    <w:rsid w:val="00DD0FF7"/>
    <w:rsid w:val="00DD58B7"/>
    <w:rsid w:val="00DE1BE5"/>
    <w:rsid w:val="00E01657"/>
    <w:rsid w:val="00E514B9"/>
    <w:rsid w:val="00E6379B"/>
    <w:rsid w:val="00E86145"/>
    <w:rsid w:val="00EB0056"/>
    <w:rsid w:val="00EC25A1"/>
    <w:rsid w:val="00EC3FC2"/>
    <w:rsid w:val="00EC6467"/>
    <w:rsid w:val="00ED0E73"/>
    <w:rsid w:val="00ED3A9E"/>
    <w:rsid w:val="00F11711"/>
    <w:rsid w:val="00F34B27"/>
    <w:rsid w:val="00F50EEA"/>
    <w:rsid w:val="00F62C59"/>
    <w:rsid w:val="00F76490"/>
    <w:rsid w:val="00F76949"/>
    <w:rsid w:val="00F773C1"/>
    <w:rsid w:val="00FA3744"/>
    <w:rsid w:val="00FC7DA7"/>
    <w:rsid w:val="03DE3CAC"/>
    <w:rsid w:val="03F84D6E"/>
    <w:rsid w:val="040A4AA1"/>
    <w:rsid w:val="04AC51BF"/>
    <w:rsid w:val="056F5DA2"/>
    <w:rsid w:val="0609263B"/>
    <w:rsid w:val="064A3656"/>
    <w:rsid w:val="0681675D"/>
    <w:rsid w:val="0687687D"/>
    <w:rsid w:val="068F43A5"/>
    <w:rsid w:val="06A26A6F"/>
    <w:rsid w:val="070B125C"/>
    <w:rsid w:val="08653D59"/>
    <w:rsid w:val="086C671C"/>
    <w:rsid w:val="08961326"/>
    <w:rsid w:val="09373E70"/>
    <w:rsid w:val="09F671BA"/>
    <w:rsid w:val="0A681D05"/>
    <w:rsid w:val="0AF91C22"/>
    <w:rsid w:val="0B7A250D"/>
    <w:rsid w:val="0D605732"/>
    <w:rsid w:val="0D676AC1"/>
    <w:rsid w:val="0F3D2C22"/>
    <w:rsid w:val="0FC06194"/>
    <w:rsid w:val="10285E8F"/>
    <w:rsid w:val="10E13C2D"/>
    <w:rsid w:val="113C618C"/>
    <w:rsid w:val="11A41F5D"/>
    <w:rsid w:val="12152F8F"/>
    <w:rsid w:val="12F27412"/>
    <w:rsid w:val="130354DD"/>
    <w:rsid w:val="13290424"/>
    <w:rsid w:val="14794B28"/>
    <w:rsid w:val="14BB4E13"/>
    <w:rsid w:val="15CA0889"/>
    <w:rsid w:val="15EB4D80"/>
    <w:rsid w:val="1763479D"/>
    <w:rsid w:val="19DB1CF8"/>
    <w:rsid w:val="1A0F1E1B"/>
    <w:rsid w:val="1A177457"/>
    <w:rsid w:val="1B2F2E02"/>
    <w:rsid w:val="1B912E0E"/>
    <w:rsid w:val="1BAC5F55"/>
    <w:rsid w:val="1BBC447B"/>
    <w:rsid w:val="1C91346E"/>
    <w:rsid w:val="1CAB69CA"/>
    <w:rsid w:val="1D1D459F"/>
    <w:rsid w:val="1E071546"/>
    <w:rsid w:val="1E965458"/>
    <w:rsid w:val="1EDA17E8"/>
    <w:rsid w:val="1EE6018D"/>
    <w:rsid w:val="1F423B70"/>
    <w:rsid w:val="22875C11"/>
    <w:rsid w:val="25956469"/>
    <w:rsid w:val="28960322"/>
    <w:rsid w:val="29455AB0"/>
    <w:rsid w:val="29951C9A"/>
    <w:rsid w:val="2A1D1DB9"/>
    <w:rsid w:val="2B833585"/>
    <w:rsid w:val="2BB61C0D"/>
    <w:rsid w:val="2C7A63A0"/>
    <w:rsid w:val="2CD549C9"/>
    <w:rsid w:val="2E2B0FC7"/>
    <w:rsid w:val="2EE2776A"/>
    <w:rsid w:val="32063396"/>
    <w:rsid w:val="32314A42"/>
    <w:rsid w:val="32A676B7"/>
    <w:rsid w:val="32BB6954"/>
    <w:rsid w:val="33C9699D"/>
    <w:rsid w:val="37FB5153"/>
    <w:rsid w:val="3814321D"/>
    <w:rsid w:val="38637D01"/>
    <w:rsid w:val="39C66799"/>
    <w:rsid w:val="3BF97BF5"/>
    <w:rsid w:val="3D4D2183"/>
    <w:rsid w:val="3E622809"/>
    <w:rsid w:val="41542BB1"/>
    <w:rsid w:val="415707E1"/>
    <w:rsid w:val="41673914"/>
    <w:rsid w:val="41AD023F"/>
    <w:rsid w:val="421B164C"/>
    <w:rsid w:val="432744A4"/>
    <w:rsid w:val="445D7CFA"/>
    <w:rsid w:val="45D64208"/>
    <w:rsid w:val="46354667"/>
    <w:rsid w:val="465962B7"/>
    <w:rsid w:val="466E249A"/>
    <w:rsid w:val="493E78CF"/>
    <w:rsid w:val="49F542B0"/>
    <w:rsid w:val="4AD8632C"/>
    <w:rsid w:val="4AFD9368"/>
    <w:rsid w:val="4B645E12"/>
    <w:rsid w:val="4B702A09"/>
    <w:rsid w:val="4BF70A5E"/>
    <w:rsid w:val="4E084A43"/>
    <w:rsid w:val="4F303F09"/>
    <w:rsid w:val="4F4A95A8"/>
    <w:rsid w:val="506A5C79"/>
    <w:rsid w:val="52610FDB"/>
    <w:rsid w:val="550A17D8"/>
    <w:rsid w:val="556F1F83"/>
    <w:rsid w:val="55DF4542"/>
    <w:rsid w:val="55F06C20"/>
    <w:rsid w:val="567B39EC"/>
    <w:rsid w:val="572D21B4"/>
    <w:rsid w:val="579A22E6"/>
    <w:rsid w:val="57CAC6BF"/>
    <w:rsid w:val="583F5C3D"/>
    <w:rsid w:val="5A0C1B4F"/>
    <w:rsid w:val="5C37553B"/>
    <w:rsid w:val="5C525895"/>
    <w:rsid w:val="5E9860A7"/>
    <w:rsid w:val="5EF7411E"/>
    <w:rsid w:val="5F593C21"/>
    <w:rsid w:val="5FB854E4"/>
    <w:rsid w:val="5FDD598A"/>
    <w:rsid w:val="61F52A53"/>
    <w:rsid w:val="62123A30"/>
    <w:rsid w:val="627961EF"/>
    <w:rsid w:val="63123361"/>
    <w:rsid w:val="64216DE5"/>
    <w:rsid w:val="64360BE1"/>
    <w:rsid w:val="64DC2108"/>
    <w:rsid w:val="6579419E"/>
    <w:rsid w:val="66065FEC"/>
    <w:rsid w:val="67A833C5"/>
    <w:rsid w:val="694A63D7"/>
    <w:rsid w:val="69D3363C"/>
    <w:rsid w:val="6A38073E"/>
    <w:rsid w:val="6ADD0B5E"/>
    <w:rsid w:val="6B410869"/>
    <w:rsid w:val="6B9876E6"/>
    <w:rsid w:val="6CC4275D"/>
    <w:rsid w:val="6D5B7ABF"/>
    <w:rsid w:val="6D7115DF"/>
    <w:rsid w:val="6E7603C5"/>
    <w:rsid w:val="6EF81F37"/>
    <w:rsid w:val="6F7213CB"/>
    <w:rsid w:val="708641FA"/>
    <w:rsid w:val="72D8495F"/>
    <w:rsid w:val="72E70F53"/>
    <w:rsid w:val="737C06D0"/>
    <w:rsid w:val="74587DCE"/>
    <w:rsid w:val="75236750"/>
    <w:rsid w:val="756032F1"/>
    <w:rsid w:val="76636B42"/>
    <w:rsid w:val="774F49DF"/>
    <w:rsid w:val="784A7636"/>
    <w:rsid w:val="78E026CC"/>
    <w:rsid w:val="79BC74CF"/>
    <w:rsid w:val="79EB2A3E"/>
    <w:rsid w:val="7A4F7B0A"/>
    <w:rsid w:val="7BD8414C"/>
    <w:rsid w:val="7C11424F"/>
    <w:rsid w:val="7C66738C"/>
    <w:rsid w:val="7E5D76A5"/>
    <w:rsid w:val="7EDB7BBE"/>
    <w:rsid w:val="7EFFA98E"/>
    <w:rsid w:val="7F4514DB"/>
    <w:rsid w:val="7F754A10"/>
    <w:rsid w:val="7FFEDC2C"/>
    <w:rsid w:val="9DFD0323"/>
    <w:rsid w:val="9F7FD987"/>
    <w:rsid w:val="B7EFF511"/>
    <w:rsid w:val="BFBB40DC"/>
    <w:rsid w:val="BFDF0EF8"/>
    <w:rsid w:val="C3ECF1D2"/>
    <w:rsid w:val="CFDF76AB"/>
    <w:rsid w:val="E7F7E598"/>
    <w:rsid w:val="EAEF2FDF"/>
    <w:rsid w:val="F53BFE3A"/>
    <w:rsid w:val="FDFFCECC"/>
    <w:rsid w:val="FF7E3E26"/>
    <w:rsid w:val="FFA8ED03"/>
    <w:rsid w:val="FFFD08C2"/>
    <w:rsid w:val="FFFEC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32"/>
    <w:qFormat/>
    <w:uiPriority w:val="9"/>
    <w:pPr>
      <w:keepNext/>
      <w:keepLines/>
      <w:spacing w:line="600" w:lineRule="exact"/>
      <w:jc w:val="center"/>
      <w:outlineLvl w:val="0"/>
    </w:pPr>
    <w:rPr>
      <w:rFonts w:eastAsia="方正小标宋_GBK"/>
      <w:bCs/>
      <w:kern w:val="44"/>
      <w:sz w:val="44"/>
      <w:szCs w:val="44"/>
    </w:rPr>
  </w:style>
  <w:style w:type="paragraph" w:styleId="3">
    <w:name w:val="heading 2"/>
    <w:basedOn w:val="1"/>
    <w:next w:val="1"/>
    <w:qFormat/>
    <w:uiPriority w:val="0"/>
    <w:pPr>
      <w:keepNext/>
      <w:spacing w:before="240" w:after="60"/>
      <w:outlineLvl w:val="1"/>
    </w:pPr>
    <w:rPr>
      <w:rFonts w:ascii="Cambria" w:hAnsi="Cambria" w:eastAsia="黑体"/>
      <w:b/>
      <w:bCs/>
      <w:iCs/>
      <w:sz w:val="28"/>
      <w:szCs w:val="28"/>
    </w:rPr>
  </w:style>
  <w:style w:type="paragraph" w:styleId="4">
    <w:name w:val="heading 3"/>
    <w:basedOn w:val="1"/>
    <w:next w:val="1"/>
    <w:link w:val="33"/>
    <w:qFormat/>
    <w:uiPriority w:val="9"/>
    <w:pPr>
      <w:keepNext/>
      <w:keepLines/>
      <w:spacing w:before="260" w:after="260" w:line="416" w:lineRule="atLeast"/>
      <w:outlineLvl w:val="2"/>
    </w:pPr>
    <w:rPr>
      <w:rFonts w:eastAsia="方正楷体_GBK"/>
      <w:b/>
      <w:bCs/>
      <w:szCs w:val="32"/>
    </w:rPr>
  </w:style>
  <w:style w:type="paragraph" w:styleId="5">
    <w:name w:val="heading 4"/>
    <w:basedOn w:val="1"/>
    <w:next w:val="1"/>
    <w:qFormat/>
    <w:uiPriority w:val="0"/>
    <w:pPr>
      <w:outlineLvl w:val="3"/>
    </w:p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paragraph" w:styleId="7">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5"/>
    <w:unhideWhenUsed/>
    <w:qFormat/>
    <w:uiPriority w:val="9"/>
    <w:pPr>
      <w:keepNext/>
      <w:keepLines/>
      <w:spacing w:before="240" w:after="64" w:line="320" w:lineRule="auto"/>
      <w:outlineLvl w:val="6"/>
    </w:pPr>
    <w:rPr>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link w:val="34"/>
    <w:qFormat/>
    <w:uiPriority w:val="0"/>
    <w:pPr>
      <w:jc w:val="left"/>
    </w:pPr>
  </w:style>
  <w:style w:type="paragraph" w:styleId="10">
    <w:name w:val="Salutation"/>
    <w:basedOn w:val="1"/>
    <w:next w:val="1"/>
    <w:qFormat/>
    <w:uiPriority w:val="0"/>
  </w:style>
  <w:style w:type="paragraph" w:styleId="11">
    <w:name w:val="Body Text"/>
    <w:basedOn w:val="1"/>
    <w:next w:val="12"/>
    <w:qFormat/>
    <w:uiPriority w:val="0"/>
    <w:pPr>
      <w:ind w:left="100" w:leftChars="100" w:right="100" w:rightChars="100"/>
    </w:p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paragraph" w:styleId="13">
    <w:name w:val="Body Text Indent"/>
    <w:basedOn w:val="1"/>
    <w:qFormat/>
    <w:uiPriority w:val="0"/>
    <w:pPr>
      <w:spacing w:line="540" w:lineRule="exact"/>
      <w:ind w:firstLine="624" w:firstLineChars="200"/>
    </w:pPr>
    <w:rPr>
      <w:rFonts w:eastAsia="宋体"/>
      <w:szCs w:val="20"/>
    </w:rPr>
  </w:style>
  <w:style w:type="paragraph" w:styleId="14">
    <w:name w:val="Balloon Text"/>
    <w:basedOn w:val="1"/>
    <w:link w:val="43"/>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style>
  <w:style w:type="paragraph" w:styleId="18">
    <w:name w:val="index 7"/>
    <w:next w:val="1"/>
    <w:qFormat/>
    <w:uiPriority w:val="0"/>
    <w:pPr>
      <w:widowControl w:val="0"/>
      <w:suppressAutoHyphens/>
      <w:ind w:left="2520"/>
      <w:jc w:val="both"/>
    </w:pPr>
    <w:rPr>
      <w:rFonts w:ascii="Times New Roman" w:hAnsi="Times New Roman" w:eastAsia="等线" w:cs="Times New Roman"/>
      <w:kern w:val="2"/>
      <w:sz w:val="21"/>
      <w:szCs w:val="24"/>
      <w:lang w:val="en-US" w:eastAsia="zh-CN" w:bidi="ar-SA"/>
    </w:rPr>
  </w:style>
  <w:style w:type="paragraph" w:styleId="19">
    <w:name w:val="toc 2"/>
    <w:basedOn w:val="1"/>
    <w:next w:val="1"/>
    <w:unhideWhenUsed/>
    <w:qFormat/>
    <w:uiPriority w:val="39"/>
    <w:pPr>
      <w:ind w:left="420" w:leftChars="200"/>
    </w:pPr>
  </w:style>
  <w:style w:type="paragraph" w:styleId="20">
    <w:name w:val="Normal (Web)"/>
    <w:basedOn w:val="1"/>
    <w:qFormat/>
    <w:uiPriority w:val="0"/>
    <w:pPr>
      <w:spacing w:before="100" w:beforeAutospacing="1" w:after="100" w:afterAutospacing="1"/>
      <w:jc w:val="left"/>
    </w:pPr>
    <w:rPr>
      <w:kern w:val="0"/>
      <w:sz w:val="24"/>
    </w:rPr>
  </w:style>
  <w:style w:type="paragraph" w:styleId="21">
    <w:name w:val="Title"/>
    <w:basedOn w:val="1"/>
    <w:next w:val="1"/>
    <w:link w:val="41"/>
    <w:qFormat/>
    <w:uiPriority w:val="0"/>
    <w:pPr>
      <w:spacing w:before="240" w:after="60"/>
      <w:jc w:val="center"/>
      <w:outlineLvl w:val="0"/>
    </w:pPr>
    <w:rPr>
      <w:rFonts w:asciiTheme="majorHAnsi" w:hAnsiTheme="majorHAnsi" w:eastAsiaTheme="majorEastAsia" w:cstheme="majorBidi"/>
      <w:b/>
      <w:bCs/>
      <w:szCs w:val="32"/>
    </w:rPr>
  </w:style>
  <w:style w:type="paragraph" w:styleId="22">
    <w:name w:val="annotation subject"/>
    <w:basedOn w:val="9"/>
    <w:next w:val="9"/>
    <w:link w:val="35"/>
    <w:qFormat/>
    <w:uiPriority w:val="0"/>
    <w:rPr>
      <w:b/>
      <w:bCs/>
    </w:rPr>
  </w:style>
  <w:style w:type="paragraph" w:styleId="23">
    <w:name w:val="Body Text First Indent 2"/>
    <w:basedOn w:val="13"/>
    <w:qFormat/>
    <w:uiPriority w:val="0"/>
    <w:pPr>
      <w:ind w:firstLine="420"/>
    </w:pPr>
    <w:rPr>
      <w:sz w:val="30"/>
      <w:szCs w:val="3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character" w:styleId="28">
    <w:name w:val="Emphasis"/>
    <w:qFormat/>
    <w:uiPriority w:val="0"/>
    <w:rPr>
      <w:i/>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qFormat/>
    <w:uiPriority w:val="0"/>
    <w:rPr>
      <w:sz w:val="21"/>
      <w:szCs w:val="21"/>
    </w:rPr>
  </w:style>
  <w:style w:type="paragraph" w:customStyle="1" w:styleId="3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32">
    <w:name w:val="标题 1 字符"/>
    <w:link w:val="2"/>
    <w:qFormat/>
    <w:uiPriority w:val="9"/>
    <w:rPr>
      <w:rFonts w:eastAsia="方正小标宋_GBK"/>
      <w:bCs/>
      <w:kern w:val="44"/>
      <w:sz w:val="44"/>
      <w:szCs w:val="44"/>
    </w:rPr>
  </w:style>
  <w:style w:type="character" w:customStyle="1" w:styleId="33">
    <w:name w:val="标题 3 字符"/>
    <w:link w:val="4"/>
    <w:qFormat/>
    <w:uiPriority w:val="9"/>
    <w:rPr>
      <w:rFonts w:eastAsia="方正楷体_GBK"/>
      <w:b/>
      <w:bCs/>
      <w:szCs w:val="32"/>
    </w:rPr>
  </w:style>
  <w:style w:type="character" w:customStyle="1" w:styleId="34">
    <w:name w:val="批注文字 字符"/>
    <w:link w:val="9"/>
    <w:qFormat/>
    <w:uiPriority w:val="0"/>
    <w:rPr>
      <w:rFonts w:eastAsia="仿宋_GB2312"/>
      <w:kern w:val="2"/>
      <w:sz w:val="32"/>
      <w:szCs w:val="24"/>
    </w:rPr>
  </w:style>
  <w:style w:type="character" w:customStyle="1" w:styleId="35">
    <w:name w:val="批注主题 字符"/>
    <w:link w:val="22"/>
    <w:qFormat/>
    <w:uiPriority w:val="0"/>
    <w:rPr>
      <w:rFonts w:eastAsia="仿宋_GB2312"/>
      <w:b/>
      <w:bCs/>
      <w:kern w:val="2"/>
      <w:sz w:val="32"/>
      <w:szCs w:val="24"/>
    </w:rPr>
  </w:style>
  <w:style w:type="character" w:customStyle="1" w:styleId="36">
    <w:name w:val="NormalCharacter"/>
    <w:qFormat/>
    <w:uiPriority w:val="0"/>
  </w:style>
  <w:style w:type="paragraph" w:styleId="37">
    <w:name w:val="List Paragraph"/>
    <w:basedOn w:val="1"/>
    <w:qFormat/>
    <w:uiPriority w:val="34"/>
    <w:pPr>
      <w:ind w:firstLine="420" w:firstLineChars="200"/>
    </w:pPr>
  </w:style>
  <w:style w:type="paragraph" w:customStyle="1" w:styleId="38">
    <w:name w:val="修订1"/>
    <w:unhideWhenUsed/>
    <w:qFormat/>
    <w:uiPriority w:val="99"/>
    <w:rPr>
      <w:rFonts w:ascii="Times New Roman" w:hAnsi="Times New Roman" w:eastAsia="仿宋_GB2312" w:cs="Times New Roman"/>
      <w:kern w:val="2"/>
      <w:sz w:val="32"/>
      <w:szCs w:val="24"/>
      <w:lang w:val="en-US" w:eastAsia="zh-CN" w:bidi="ar-SA"/>
    </w:rPr>
  </w:style>
  <w:style w:type="paragraph" w:customStyle="1" w:styleId="39">
    <w:name w:val="BodyTextIndent2"/>
    <w:basedOn w:val="1"/>
    <w:qFormat/>
    <w:uiPriority w:val="0"/>
    <w:pPr>
      <w:ind w:firstLine="480"/>
      <w:textAlignment w:val="baseline"/>
    </w:pPr>
  </w:style>
  <w:style w:type="paragraph" w:customStyle="1" w:styleId="40">
    <w:name w:val="索引 51"/>
    <w:basedOn w:val="1"/>
    <w:next w:val="1"/>
    <w:qFormat/>
    <w:uiPriority w:val="0"/>
    <w:pPr>
      <w:ind w:left="1680"/>
    </w:pPr>
  </w:style>
  <w:style w:type="character" w:customStyle="1" w:styleId="41">
    <w:name w:val="标题 字符"/>
    <w:basedOn w:val="26"/>
    <w:link w:val="21"/>
    <w:qFormat/>
    <w:uiPriority w:val="0"/>
    <w:rPr>
      <w:rFonts w:asciiTheme="majorHAnsi" w:hAnsiTheme="majorHAnsi" w:eastAsiaTheme="majorEastAsia" w:cstheme="majorBidi"/>
      <w:b/>
      <w:bCs/>
      <w:kern w:val="2"/>
      <w:sz w:val="32"/>
      <w:szCs w:val="32"/>
    </w:rPr>
  </w:style>
  <w:style w:type="paragraph" w:customStyle="1" w:styleId="42">
    <w:name w:val="修订2"/>
    <w:hidden/>
    <w:unhideWhenUsed/>
    <w:qFormat/>
    <w:uiPriority w:val="99"/>
    <w:rPr>
      <w:rFonts w:ascii="Times New Roman" w:hAnsi="Times New Roman" w:eastAsia="仿宋_GB2312" w:cs="Times New Roman"/>
      <w:kern w:val="2"/>
      <w:sz w:val="32"/>
      <w:szCs w:val="24"/>
      <w:lang w:val="en-US" w:eastAsia="zh-CN" w:bidi="ar-SA"/>
    </w:rPr>
  </w:style>
  <w:style w:type="character" w:customStyle="1" w:styleId="43">
    <w:name w:val="批注框文本 字符"/>
    <w:basedOn w:val="26"/>
    <w:link w:val="14"/>
    <w:qFormat/>
    <w:uiPriority w:val="0"/>
    <w:rPr>
      <w:rFonts w:eastAsia="仿宋_GB2312"/>
      <w:kern w:val="2"/>
      <w:sz w:val="18"/>
      <w:szCs w:val="18"/>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14:ligatures w14:val="standardContextual"/>
    </w:rPr>
  </w:style>
  <w:style w:type="character" w:customStyle="1" w:styleId="45">
    <w:name w:val="标题 7 字符"/>
    <w:basedOn w:val="26"/>
    <w:link w:val="8"/>
    <w:qFormat/>
    <w:uiPriority w:val="9"/>
    <w:rPr>
      <w:b/>
      <w:bCs/>
      <w:sz w:val="24"/>
      <w:szCs w:val="24"/>
    </w:rPr>
  </w:style>
  <w:style w:type="paragraph" w:customStyle="1" w:styleId="46">
    <w:name w:val="标准文件_目录标题"/>
    <w:basedOn w:val="1"/>
    <w:qFormat/>
    <w:uiPriority w:val="0"/>
    <w:pPr>
      <w:spacing w:after="150" w:afterLines="150" w:line="240" w:lineRule="auto"/>
      <w:jc w:val="center"/>
    </w:pPr>
    <w:rPr>
      <w:rFonts w:ascii="黑体"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emf"/><Relationship Id="rId12" Type="http://schemas.openxmlformats.org/officeDocument/2006/relationships/package" Target="embeddings/Microsoft_Visio___2.vsdx"/><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16C9A5-DE37-468F-97C0-5B9BB285E5AE}">
  <ds:schemaRefs/>
</ds:datastoreItem>
</file>

<file path=docProps/app.xml><?xml version="1.0" encoding="utf-8"?>
<Properties xmlns="http://schemas.openxmlformats.org/officeDocument/2006/extended-properties" xmlns:vt="http://schemas.openxmlformats.org/officeDocument/2006/docPropsVTypes">
  <Template>Normal.dotm</Template>
  <Pages>66</Pages>
  <Words>6337</Words>
  <Characters>36123</Characters>
  <Lines>301</Lines>
  <Paragraphs>84</Paragraphs>
  <TotalTime>7</TotalTime>
  <ScaleCrop>false</ScaleCrop>
  <LinksUpToDate>false</LinksUpToDate>
  <CharactersWithSpaces>42376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2023-09-14T07:31:00Z</dcterms:created>
  <dc:creator>user</dc:creator>
  <cp:lastModifiedBy>杨若苒</cp:lastModifiedBy>
  <cp:lastPrinted>2023-10-30T03:31:00Z</cp:lastPrinted>
  <dcterms:modified xsi:type="dcterms:W3CDTF">2023-11-06T10:09:20Z</dcterms:modified>
  <dc:title>重庆市生态环境局工作请示用笺</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D2A9948FF22C48F09D07F906B280DA67_13</vt:lpwstr>
  </property>
</Properties>
</file>