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pPr>
    </w:p>
    <w:p>
      <w:pPr>
        <w:overflowPunct w:val="0"/>
        <w:topLinePunct/>
        <w:ind w:firstLine="0" w:firstLineChars="0"/>
        <w:jc w:val="center"/>
        <w:rPr>
          <w:rFonts w:hint="eastAsia" w:eastAsia="方正小标宋简体"/>
          <w:bCs/>
          <w:color w:val="000000"/>
          <w:kern w:val="0"/>
          <w:sz w:val="44"/>
          <w:szCs w:val="44"/>
        </w:rPr>
      </w:pPr>
      <w:r>
        <w:rPr>
          <w:rFonts w:hint="eastAsia" w:eastAsia="方正小标宋简体"/>
          <w:bCs/>
          <w:color w:val="000000"/>
          <w:kern w:val="0"/>
          <w:sz w:val="44"/>
          <w:szCs w:val="44"/>
        </w:rPr>
        <w:t>四川省重点排放单位</w:t>
      </w:r>
      <w:r>
        <w:rPr>
          <w:rFonts w:eastAsia="方正小标宋简体"/>
          <w:bCs/>
          <w:color w:val="000000"/>
          <w:kern w:val="0"/>
          <w:sz w:val="44"/>
          <w:szCs w:val="44"/>
        </w:rPr>
        <w:t>温室气体排放</w:t>
      </w:r>
    </w:p>
    <w:p>
      <w:pPr>
        <w:overflowPunct w:val="0"/>
        <w:topLinePunct/>
        <w:ind w:firstLine="0" w:firstLineChars="0"/>
        <w:jc w:val="center"/>
        <w:rPr>
          <w:rFonts w:eastAsia="方正小标宋简体"/>
          <w:bCs/>
          <w:color w:val="000000"/>
          <w:kern w:val="0"/>
          <w:sz w:val="44"/>
          <w:szCs w:val="44"/>
        </w:rPr>
      </w:pPr>
      <w:r>
        <w:rPr>
          <w:rFonts w:eastAsia="方正小标宋简体"/>
          <w:bCs/>
          <w:color w:val="000000"/>
          <w:kern w:val="0"/>
          <w:sz w:val="44"/>
          <w:szCs w:val="44"/>
        </w:rPr>
        <w:t>核查机构管理办法（试行）</w:t>
      </w:r>
    </w:p>
    <w:p>
      <w:pPr>
        <w:ind w:firstLine="0" w:firstLineChars="0"/>
        <w:jc w:val="center"/>
        <w:rPr>
          <w:rFonts w:eastAsia="楷体_GB2312"/>
        </w:rPr>
      </w:pPr>
      <w:r>
        <w:rPr>
          <w:rFonts w:eastAsia="楷体_GB2312"/>
        </w:rPr>
        <w:t>（征求意见稿）</w:t>
      </w:r>
    </w:p>
    <w:p>
      <w:pPr>
        <w:jc w:val="both"/>
      </w:pPr>
    </w:p>
    <w:p>
      <w:pPr>
        <w:overflowPunct w:val="0"/>
        <w:topLinePunct/>
        <w:ind w:firstLine="0" w:firstLineChars="0"/>
        <w:jc w:val="center"/>
        <w:outlineLvl w:val="0"/>
        <w:rPr>
          <w:rFonts w:eastAsia="黑体"/>
          <w:bCs/>
          <w:color w:val="000000"/>
          <w:kern w:val="0"/>
        </w:rPr>
      </w:pPr>
      <w:r>
        <w:rPr>
          <w:rFonts w:eastAsia="黑体"/>
          <w:bCs/>
          <w:color w:val="000000"/>
          <w:kern w:val="0"/>
        </w:rPr>
        <w:t>第一章　总　则</w:t>
      </w:r>
    </w:p>
    <w:p>
      <w:pPr>
        <w:jc w:val="both"/>
        <w:outlineLvl w:val="1"/>
      </w:pPr>
      <w:r>
        <w:rPr>
          <w:rFonts w:eastAsia="黑体"/>
        </w:rPr>
        <w:t>第一条　</w:t>
      </w:r>
      <w:r>
        <w:t>为规范</w:t>
      </w:r>
      <w:r>
        <w:rPr>
          <w:rFonts w:hint="eastAsia"/>
        </w:rPr>
        <w:t>重点排放单位</w:t>
      </w:r>
      <w:r>
        <w:t>温室气体排放核查活动，</w:t>
      </w:r>
      <w:r>
        <w:rPr>
          <w:rFonts w:hint="eastAsia"/>
        </w:rPr>
        <w:t>提高温室气体排放数据质量，</w:t>
      </w:r>
      <w:r>
        <w:t>确保核查工作客观公正、</w:t>
      </w:r>
      <w:r>
        <w:rPr>
          <w:rFonts w:hint="eastAsia"/>
        </w:rPr>
        <w:t>规范</w:t>
      </w:r>
      <w:r>
        <w:t>高效，根据《碳排放权交易管理办法（试行）》</w:t>
      </w:r>
      <w:r>
        <w:rPr>
          <w:rFonts w:hint="eastAsia"/>
        </w:rPr>
        <w:t>《企业温室气体排放报告核查指南》《企业温室气体排放核查技术指南　发电设施》</w:t>
      </w:r>
      <w:r>
        <w:t>《四川省碳市场能力提升行动方案》</w:t>
      </w:r>
      <w:r>
        <w:rPr>
          <w:rFonts w:hint="eastAsia"/>
        </w:rPr>
        <w:t>等要求</w:t>
      </w:r>
      <w:r>
        <w:t>，制定本办法。</w:t>
      </w:r>
    </w:p>
    <w:p>
      <w:pPr>
        <w:jc w:val="both"/>
        <w:outlineLvl w:val="1"/>
        <w:rPr>
          <w:rFonts w:hint="eastAsia"/>
        </w:rPr>
      </w:pPr>
      <w:r>
        <w:rPr>
          <w:rFonts w:eastAsia="黑体"/>
        </w:rPr>
        <w:t>第二条　</w:t>
      </w:r>
      <w:r>
        <w:rPr>
          <w:rFonts w:hint="eastAsia"/>
        </w:rPr>
        <w:t>本办法所称的核查机构指从事温室气体排放报告技术审核业务的技术服务机构。</w:t>
      </w:r>
    </w:p>
    <w:p>
      <w:pPr>
        <w:jc w:val="both"/>
        <w:outlineLvl w:val="1"/>
      </w:pPr>
      <w:r>
        <w:rPr>
          <w:rFonts w:eastAsia="黑体"/>
        </w:rPr>
        <w:t>第三条</w:t>
      </w:r>
      <w:r>
        <w:rPr>
          <w:rFonts w:hint="eastAsia" w:eastAsia="黑体"/>
        </w:rPr>
        <w:t>　</w:t>
      </w:r>
      <w:r>
        <w:t>本办法适用于</w:t>
      </w:r>
      <w:r>
        <w:rPr>
          <w:rFonts w:hint="eastAsia"/>
        </w:rPr>
        <w:t>对</w:t>
      </w:r>
      <w:r>
        <w:t>四川省行政区域内</w:t>
      </w:r>
      <w:r>
        <w:rPr>
          <w:rFonts w:hint="eastAsia"/>
        </w:rPr>
        <w:t>参与全国碳排放权交易市场的重点排放单位</w:t>
      </w:r>
      <w:r>
        <w:t>温室气体排放</w:t>
      </w:r>
      <w:r>
        <w:rPr>
          <w:rFonts w:hint="eastAsia"/>
        </w:rPr>
        <w:t>开展</w:t>
      </w:r>
      <w:r>
        <w:t>核查</w:t>
      </w:r>
      <w:r>
        <w:rPr>
          <w:rFonts w:hint="eastAsia"/>
        </w:rPr>
        <w:t>的机构及其人员、活动的</w:t>
      </w:r>
      <w:r>
        <w:t>监督管理。</w:t>
      </w:r>
    </w:p>
    <w:p>
      <w:pPr>
        <w:jc w:val="both"/>
        <w:rPr>
          <w:rFonts w:hint="eastAsia"/>
        </w:rPr>
      </w:pPr>
      <w:r>
        <w:rPr>
          <w:rFonts w:hint="eastAsia"/>
        </w:rPr>
        <w:t>对其他企业或经济组织温室气体排放报告开展核查的机构及其人员、活动的监督管理，参照本办法执行。</w:t>
      </w:r>
    </w:p>
    <w:p>
      <w:pPr>
        <w:jc w:val="both"/>
        <w:outlineLvl w:val="1"/>
      </w:pPr>
      <w:r>
        <w:rPr>
          <w:rFonts w:eastAsia="黑体"/>
        </w:rPr>
        <w:t>第四条</w:t>
      </w:r>
      <w:r>
        <w:rPr>
          <w:rFonts w:hint="eastAsia" w:eastAsia="黑体"/>
        </w:rPr>
        <w:t>　</w:t>
      </w:r>
      <w:r>
        <w:rPr>
          <w:rFonts w:hint="eastAsia"/>
        </w:rPr>
        <w:t>省级生态环境部门</w:t>
      </w:r>
      <w:r>
        <w:t>负责核查机构</w:t>
      </w:r>
      <w:r>
        <w:rPr>
          <w:rFonts w:hint="eastAsia"/>
        </w:rPr>
        <w:t>及其人员、活动的评估等</w:t>
      </w:r>
      <w:r>
        <w:t>监督管理</w:t>
      </w:r>
      <w:r>
        <w:rPr>
          <w:rFonts w:hint="eastAsia"/>
        </w:rPr>
        <w:t>，包括对</w:t>
      </w:r>
      <w:r>
        <w:t>核查机构的</w:t>
      </w:r>
      <w:r>
        <w:rPr>
          <w:rFonts w:hint="eastAsia"/>
        </w:rPr>
        <w:t>管理</w:t>
      </w:r>
      <w:r>
        <w:t>制度、</w:t>
      </w:r>
      <w:r>
        <w:rPr>
          <w:rFonts w:hint="eastAsia"/>
        </w:rPr>
        <w:t>业务开展</w:t>
      </w:r>
      <w:r>
        <w:t>、</w:t>
      </w:r>
      <w:r>
        <w:rPr>
          <w:rFonts w:hint="eastAsia"/>
        </w:rPr>
        <w:t>能力建设</w:t>
      </w:r>
      <w:r>
        <w:t>等进行指导和检查。</w:t>
      </w:r>
    </w:p>
    <w:p>
      <w:pPr>
        <w:jc w:val="both"/>
        <w:rPr>
          <w:rFonts w:hint="eastAsia"/>
        </w:rPr>
      </w:pPr>
      <w:r>
        <w:t>市（州）生态环境部门</w:t>
      </w:r>
      <w:r>
        <w:rPr>
          <w:rFonts w:hint="eastAsia"/>
          <w:lang w:eastAsia="zh-CN"/>
        </w:rPr>
        <w:t>负责</w:t>
      </w:r>
      <w:r>
        <w:rPr>
          <w:rFonts w:hint="eastAsia"/>
        </w:rPr>
        <w:t>配合省级生态环境部门对承担本辖区内核查任务的机构开展监督管理和评价。</w:t>
      </w:r>
    </w:p>
    <w:p>
      <w:pPr>
        <w:overflowPunct w:val="0"/>
        <w:topLinePunct/>
        <w:ind w:firstLine="0" w:firstLineChars="0"/>
        <w:jc w:val="center"/>
        <w:outlineLvl w:val="0"/>
        <w:rPr>
          <w:rFonts w:hint="eastAsia" w:eastAsia="黑体"/>
          <w:bCs/>
          <w:color w:val="000000"/>
          <w:kern w:val="0"/>
          <w:lang w:eastAsia="zh-CN"/>
        </w:rPr>
      </w:pPr>
      <w:r>
        <w:rPr>
          <w:rFonts w:eastAsia="黑体"/>
          <w:bCs/>
          <w:color w:val="000000"/>
          <w:kern w:val="0"/>
        </w:rPr>
        <w:t>第二章</w:t>
      </w:r>
      <w:r>
        <w:rPr>
          <w:rFonts w:hint="eastAsia" w:eastAsia="黑体"/>
          <w:bCs/>
          <w:color w:val="000000"/>
          <w:kern w:val="0"/>
        </w:rPr>
        <w:t>　</w:t>
      </w:r>
      <w:r>
        <w:rPr>
          <w:rFonts w:eastAsia="黑体"/>
          <w:bCs/>
          <w:color w:val="000000"/>
          <w:kern w:val="0"/>
        </w:rPr>
        <w:t>核查机构</w:t>
      </w:r>
      <w:r>
        <w:rPr>
          <w:rFonts w:hint="eastAsia" w:eastAsia="黑体"/>
          <w:bCs/>
          <w:color w:val="000000"/>
          <w:kern w:val="0"/>
          <w:lang w:eastAsia="zh-CN"/>
        </w:rPr>
        <w:t>和人员</w:t>
      </w:r>
    </w:p>
    <w:p>
      <w:pPr>
        <w:jc w:val="both"/>
        <w:outlineLvl w:val="1"/>
        <w:rPr>
          <w:rFonts w:hint="eastAsia"/>
        </w:rPr>
      </w:pPr>
      <w:r>
        <w:rPr>
          <w:rFonts w:eastAsia="黑体"/>
        </w:rPr>
        <w:t>第</w:t>
      </w:r>
      <w:r>
        <w:rPr>
          <w:rFonts w:hint="eastAsia" w:eastAsia="黑体"/>
        </w:rPr>
        <w:t>五</w:t>
      </w:r>
      <w:r>
        <w:rPr>
          <w:rFonts w:eastAsia="黑体"/>
        </w:rPr>
        <w:t>条</w:t>
      </w:r>
      <w:r>
        <w:rPr>
          <w:rFonts w:hint="eastAsia" w:eastAsia="黑体"/>
        </w:rPr>
        <w:t>　</w:t>
      </w:r>
      <w:r>
        <w:rPr>
          <w:rFonts w:hint="eastAsia"/>
        </w:rPr>
        <w:t>省级生态环境部门可以通过政府购买服务等方式确定核查机构。</w:t>
      </w:r>
    </w:p>
    <w:p>
      <w:pPr>
        <w:jc w:val="both"/>
        <w:outlineLvl w:val="1"/>
        <w:rPr>
          <w:highlight w:val="none"/>
        </w:rPr>
      </w:pPr>
      <w:r>
        <w:rPr>
          <w:rFonts w:eastAsia="黑体"/>
          <w:highlight w:val="none"/>
        </w:rPr>
        <w:t>第</w:t>
      </w:r>
      <w:r>
        <w:rPr>
          <w:rFonts w:hint="eastAsia" w:eastAsia="黑体"/>
          <w:highlight w:val="none"/>
        </w:rPr>
        <w:t>六</w:t>
      </w:r>
      <w:r>
        <w:rPr>
          <w:rFonts w:eastAsia="黑体"/>
          <w:highlight w:val="none"/>
        </w:rPr>
        <w:t>条　</w:t>
      </w:r>
      <w:r>
        <w:rPr>
          <w:rFonts w:hint="eastAsia"/>
          <w:highlight w:val="none"/>
        </w:rPr>
        <w:t>省级生态环境部门</w:t>
      </w:r>
      <w:r>
        <w:rPr>
          <w:highlight w:val="none"/>
        </w:rPr>
        <w:t>每年将确定的核查机构名单向社会公开。</w:t>
      </w:r>
    </w:p>
    <w:p>
      <w:pPr>
        <w:jc w:val="both"/>
        <w:outlineLvl w:val="1"/>
        <w:rPr>
          <w:color w:val="FF0000"/>
        </w:rPr>
      </w:pPr>
      <w:r>
        <w:rPr>
          <w:rFonts w:eastAsia="黑体"/>
        </w:rPr>
        <w:t>第</w:t>
      </w:r>
      <w:r>
        <w:rPr>
          <w:rFonts w:hint="eastAsia" w:eastAsia="黑体"/>
        </w:rPr>
        <w:t>七</w:t>
      </w:r>
      <w:r>
        <w:rPr>
          <w:rFonts w:eastAsia="黑体"/>
        </w:rPr>
        <w:t>条　</w:t>
      </w:r>
      <w:r>
        <w:t>核查机构应当具备以下</w:t>
      </w:r>
      <w:r>
        <w:rPr>
          <w:rFonts w:hint="eastAsia"/>
        </w:rPr>
        <w:t>基本</w:t>
      </w:r>
      <w:r>
        <w:t>条件：</w:t>
      </w:r>
    </w:p>
    <w:p>
      <w:pPr>
        <w:jc w:val="both"/>
        <w:rPr>
          <w:rFonts w:hint="eastAsia"/>
        </w:rPr>
      </w:pPr>
      <w:r>
        <w:t>（一）</w:t>
      </w:r>
      <w:r>
        <w:rPr>
          <w:rFonts w:hint="eastAsia"/>
        </w:rPr>
        <w:t>独立法人资格；</w:t>
      </w:r>
    </w:p>
    <w:p>
      <w:pPr>
        <w:jc w:val="both"/>
        <w:rPr>
          <w:rFonts w:hint="eastAsia"/>
        </w:rPr>
      </w:pPr>
      <w:r>
        <w:t>（</w:t>
      </w:r>
      <w:r>
        <w:rPr>
          <w:rFonts w:hint="eastAsia"/>
        </w:rPr>
        <w:t>二</w:t>
      </w:r>
      <w:r>
        <w:t>）</w:t>
      </w:r>
      <w:r>
        <w:rPr>
          <w:rFonts w:hint="eastAsia"/>
          <w:lang w:eastAsia="zh-CN"/>
        </w:rPr>
        <w:t>在本省核查所需的</w:t>
      </w:r>
      <w:r>
        <w:rPr>
          <w:rFonts w:hint="eastAsia"/>
        </w:rPr>
        <w:t>固定办公场所及</w:t>
      </w:r>
      <w:r>
        <w:rPr>
          <w:rFonts w:hint="eastAsia"/>
          <w:lang w:eastAsia="zh-CN"/>
        </w:rPr>
        <w:t>办</w:t>
      </w:r>
      <w:r>
        <w:rPr>
          <w:rFonts w:hint="eastAsia"/>
        </w:rPr>
        <w:t>公条件；</w:t>
      </w:r>
    </w:p>
    <w:p>
      <w:pPr>
        <w:jc w:val="both"/>
        <w:rPr>
          <w:rFonts w:hint="eastAsia"/>
        </w:rPr>
      </w:pPr>
      <w:r>
        <w:rPr>
          <w:rFonts w:hint="eastAsia"/>
        </w:rPr>
        <w:t>（三）独立开展核查活动的核查人员队伍；</w:t>
      </w:r>
    </w:p>
    <w:p>
      <w:pPr>
        <w:jc w:val="both"/>
        <w:rPr>
          <w:rFonts w:hint="eastAsia"/>
        </w:rPr>
      </w:pPr>
      <w:r>
        <w:rPr>
          <w:rFonts w:hint="eastAsia"/>
          <w:lang w:eastAsia="zh-CN"/>
        </w:rPr>
        <w:t>（四）完善的内部管理制度、</w:t>
      </w:r>
      <w:r>
        <w:rPr>
          <w:rFonts w:hint="eastAsia"/>
        </w:rPr>
        <w:t>财务会计制度</w:t>
      </w:r>
      <w:r>
        <w:rPr>
          <w:rFonts w:hint="eastAsia"/>
          <w:lang w:eastAsia="zh-CN"/>
        </w:rPr>
        <w:t>以及稳定的财务支持</w:t>
      </w:r>
      <w:r>
        <w:rPr>
          <w:rFonts w:hint="eastAsia"/>
        </w:rPr>
        <w:t>；</w:t>
      </w:r>
    </w:p>
    <w:p>
      <w:pPr>
        <w:jc w:val="both"/>
        <w:rPr>
          <w:rFonts w:hint="eastAsia"/>
          <w:lang w:eastAsia="zh-CN"/>
        </w:rPr>
      </w:pPr>
      <w:r>
        <w:rPr>
          <w:rFonts w:hint="eastAsia"/>
        </w:rPr>
        <w:t>（五）良好的从业信誉</w:t>
      </w:r>
      <w:r>
        <w:rPr>
          <w:rFonts w:hint="eastAsia"/>
          <w:lang w:eastAsia="zh-CN"/>
        </w:rPr>
        <w:t>；</w:t>
      </w:r>
    </w:p>
    <w:p>
      <w:pPr>
        <w:jc w:val="both"/>
      </w:pPr>
      <w:r>
        <w:rPr>
          <w:rFonts w:hint="eastAsia"/>
          <w:lang w:eastAsia="zh-CN"/>
        </w:rPr>
        <w:t>（六）</w:t>
      </w:r>
      <w:r>
        <w:rPr>
          <w:rFonts w:hint="eastAsia"/>
        </w:rPr>
        <w:t>其他开展温室气体排放报告核查应具备的条件</w:t>
      </w:r>
      <w:r>
        <w:t>。</w:t>
      </w:r>
    </w:p>
    <w:p>
      <w:pPr>
        <w:jc w:val="both"/>
        <w:outlineLvl w:val="1"/>
        <w:rPr>
          <w:rFonts w:hint="eastAsia"/>
        </w:rPr>
      </w:pPr>
      <w:r>
        <w:rPr>
          <w:rFonts w:eastAsia="黑体"/>
        </w:rPr>
        <w:t>第</w:t>
      </w:r>
      <w:r>
        <w:rPr>
          <w:rFonts w:hint="eastAsia" w:eastAsia="黑体"/>
        </w:rPr>
        <w:t>八</w:t>
      </w:r>
      <w:r>
        <w:rPr>
          <w:rFonts w:eastAsia="黑体"/>
        </w:rPr>
        <w:t>条　</w:t>
      </w:r>
      <w:r>
        <w:rPr>
          <w:rFonts w:hint="eastAsia"/>
        </w:rPr>
        <w:t>核查人员应</w:t>
      </w:r>
      <w:r>
        <w:t>具备以下</w:t>
      </w:r>
      <w:r>
        <w:rPr>
          <w:rFonts w:hint="eastAsia"/>
        </w:rPr>
        <w:t>基本</w:t>
      </w:r>
      <w:r>
        <w:t>条件：</w:t>
      </w:r>
    </w:p>
    <w:p>
      <w:pPr>
        <w:jc w:val="both"/>
        <w:outlineLvl w:val="1"/>
        <w:rPr>
          <w:rFonts w:hint="eastAsia" w:eastAsia="仿宋_GB2312"/>
          <w:lang w:eastAsia="zh-CN"/>
        </w:rPr>
      </w:pPr>
      <w:r>
        <w:t>（</w:t>
      </w:r>
      <w:r>
        <w:rPr>
          <w:rFonts w:hint="eastAsia"/>
        </w:rPr>
        <w:t>一</w:t>
      </w:r>
      <w:r>
        <w:t>）</w:t>
      </w:r>
      <w:r>
        <w:rPr>
          <w:rFonts w:hint="eastAsia"/>
        </w:rPr>
        <w:t>为核查机构专职工作人员</w:t>
      </w:r>
      <w:r>
        <w:rPr>
          <w:rFonts w:hint="eastAsia"/>
          <w:lang w:eastAsia="zh-CN"/>
        </w:rPr>
        <w:t>，</w:t>
      </w:r>
      <w:r>
        <w:t>不得同时受聘于两家</w:t>
      </w:r>
      <w:r>
        <w:rPr>
          <w:rFonts w:hint="eastAsia"/>
        </w:rPr>
        <w:t>及</w:t>
      </w:r>
      <w:r>
        <w:t>以上的核查机构</w:t>
      </w:r>
      <w:r>
        <w:rPr>
          <w:rFonts w:hint="eastAsia"/>
          <w:lang w:eastAsia="zh-CN"/>
        </w:rPr>
        <w:t>；</w:t>
      </w:r>
    </w:p>
    <w:p>
      <w:pPr>
        <w:jc w:val="both"/>
      </w:pPr>
      <w:r>
        <w:t>（</w:t>
      </w:r>
      <w:r>
        <w:rPr>
          <w:rFonts w:hint="eastAsia"/>
        </w:rPr>
        <w:t>二</w:t>
      </w:r>
      <w:r>
        <w:t>）</w:t>
      </w:r>
      <w:r>
        <w:rPr>
          <w:rFonts w:hint="eastAsia"/>
        </w:rPr>
        <w:t>开展核查工作</w:t>
      </w:r>
      <w:r>
        <w:t>的专业知识和经验；</w:t>
      </w:r>
    </w:p>
    <w:p>
      <w:pPr>
        <w:jc w:val="both"/>
        <w:rPr>
          <w:rFonts w:hint="eastAsia" w:eastAsia="仿宋_GB2312"/>
          <w:lang w:eastAsia="zh-CN"/>
        </w:rPr>
      </w:pPr>
      <w:r>
        <w:t>（</w:t>
      </w:r>
      <w:r>
        <w:rPr>
          <w:rFonts w:hint="eastAsia"/>
        </w:rPr>
        <w:t>三</w:t>
      </w:r>
      <w:r>
        <w:t>）</w:t>
      </w:r>
      <w:r>
        <w:rPr>
          <w:rFonts w:hint="eastAsia"/>
        </w:rPr>
        <w:t>个人信用良好，无违法违规从业记录</w:t>
      </w:r>
      <w:r>
        <w:rPr>
          <w:rFonts w:hint="eastAsia"/>
          <w:lang w:eastAsia="zh-CN"/>
        </w:rPr>
        <w:t>。</w:t>
      </w:r>
    </w:p>
    <w:p>
      <w:pPr>
        <w:jc w:val="both"/>
        <w:outlineLvl w:val="1"/>
      </w:pPr>
      <w:bookmarkStart w:id="0" w:name="_Hlk129943105"/>
      <w:r>
        <w:rPr>
          <w:rFonts w:eastAsia="黑体"/>
        </w:rPr>
        <w:t>第</w:t>
      </w:r>
      <w:r>
        <w:rPr>
          <w:rFonts w:hint="eastAsia" w:eastAsia="黑体"/>
        </w:rPr>
        <w:t>九</w:t>
      </w:r>
      <w:r>
        <w:rPr>
          <w:rFonts w:eastAsia="黑体"/>
        </w:rPr>
        <w:t>条　</w:t>
      </w:r>
      <w:r>
        <w:rPr>
          <w:rFonts w:hint="eastAsia"/>
        </w:rPr>
        <w:t>核查机构应建立有效的机制，公正规范地开展碳排放核查，防控数据质量风险，保障数据安全，并对出具的</w:t>
      </w:r>
      <w:r>
        <w:rPr>
          <w:rFonts w:hint="eastAsia"/>
          <w:lang w:eastAsia="zh-CN"/>
        </w:rPr>
        <w:t>核查</w:t>
      </w:r>
      <w:r>
        <w:rPr>
          <w:rFonts w:hint="eastAsia"/>
        </w:rPr>
        <w:t>报告及开展的工作承担相应责任。</w:t>
      </w:r>
    </w:p>
    <w:p>
      <w:pPr>
        <w:jc w:val="both"/>
        <w:outlineLvl w:val="1"/>
        <w:rPr>
          <w:rFonts w:hint="eastAsia"/>
        </w:rPr>
      </w:pPr>
      <w:r>
        <w:rPr>
          <w:rFonts w:eastAsia="黑体"/>
        </w:rPr>
        <w:t>第</w:t>
      </w:r>
      <w:r>
        <w:rPr>
          <w:rFonts w:hint="eastAsia" w:eastAsia="黑体"/>
        </w:rPr>
        <w:t>十</w:t>
      </w:r>
      <w:r>
        <w:rPr>
          <w:rFonts w:eastAsia="黑体"/>
        </w:rPr>
        <w:t>条　</w:t>
      </w:r>
      <w:r>
        <w:t>核查机构应加强对</w:t>
      </w:r>
      <w:r>
        <w:rPr>
          <w:rFonts w:hint="eastAsia"/>
        </w:rPr>
        <w:t>核查人员的管理，强化行业道德、行为准则、知识储备、业务提升的培训管理，确保核查人员行为规范及业务能力符合核查工作要求。</w:t>
      </w:r>
    </w:p>
    <w:bookmarkEnd w:id="0"/>
    <w:p>
      <w:pPr>
        <w:overflowPunct w:val="0"/>
        <w:topLinePunct/>
        <w:ind w:firstLine="0" w:firstLineChars="0"/>
        <w:jc w:val="center"/>
        <w:outlineLvl w:val="0"/>
        <w:rPr>
          <w:rFonts w:eastAsia="黑体"/>
          <w:bCs/>
          <w:color w:val="000000"/>
          <w:kern w:val="0"/>
        </w:rPr>
      </w:pPr>
      <w:r>
        <w:rPr>
          <w:rFonts w:eastAsia="黑体"/>
          <w:bCs/>
          <w:color w:val="000000"/>
          <w:kern w:val="0"/>
        </w:rPr>
        <w:t>第三章</w:t>
      </w:r>
      <w:r>
        <w:rPr>
          <w:rFonts w:hint="eastAsia" w:eastAsia="黑体"/>
          <w:bCs/>
          <w:color w:val="000000"/>
          <w:kern w:val="0"/>
        </w:rPr>
        <w:t>　</w:t>
      </w:r>
      <w:r>
        <w:rPr>
          <w:rFonts w:eastAsia="黑体"/>
          <w:bCs/>
          <w:color w:val="000000"/>
          <w:kern w:val="0"/>
        </w:rPr>
        <w:t>核查实施</w:t>
      </w:r>
    </w:p>
    <w:p>
      <w:pPr>
        <w:jc w:val="both"/>
        <w:outlineLvl w:val="1"/>
      </w:pPr>
      <w:r>
        <w:rPr>
          <w:rFonts w:eastAsia="黑体"/>
        </w:rPr>
        <w:t>第十</w:t>
      </w:r>
      <w:r>
        <w:rPr>
          <w:rFonts w:hint="eastAsia" w:eastAsia="黑体"/>
        </w:rPr>
        <w:t>一</w:t>
      </w:r>
      <w:r>
        <w:rPr>
          <w:rFonts w:eastAsia="黑体"/>
        </w:rPr>
        <w:t>条　</w:t>
      </w:r>
      <w:r>
        <w:t>核查机构应</w:t>
      </w:r>
      <w:r>
        <w:rPr>
          <w:rFonts w:hint="eastAsia"/>
        </w:rPr>
        <w:t>当</w:t>
      </w:r>
      <w:r>
        <w:t>按照</w:t>
      </w:r>
      <w:r>
        <w:rPr>
          <w:rFonts w:hint="eastAsia"/>
        </w:rPr>
        <w:t>国家和四川省温室气体排放数据质量管理</w:t>
      </w:r>
      <w:r>
        <w:rPr>
          <w:rFonts w:hint="eastAsia"/>
          <w:lang w:eastAsia="zh-CN"/>
        </w:rPr>
        <w:t>规定</w:t>
      </w:r>
      <w:r>
        <w:rPr>
          <w:rFonts w:hint="eastAsia"/>
        </w:rPr>
        <w:t>，遵循客观独立、公平公正、诚实守信、专业严谨原则开展核查，保证核查过程规范有效、核查任务按时完成、核查报告真实准确。</w:t>
      </w:r>
    </w:p>
    <w:p>
      <w:pPr>
        <w:jc w:val="both"/>
        <w:outlineLvl w:val="1"/>
      </w:pPr>
      <w:r>
        <w:rPr>
          <w:rFonts w:eastAsia="黑体"/>
        </w:rPr>
        <w:t>第十</w:t>
      </w:r>
      <w:r>
        <w:rPr>
          <w:rFonts w:hint="eastAsia" w:eastAsia="黑体"/>
        </w:rPr>
        <w:t>二</w:t>
      </w:r>
      <w:r>
        <w:rPr>
          <w:rFonts w:eastAsia="黑体"/>
        </w:rPr>
        <w:t>条　</w:t>
      </w:r>
      <w:r>
        <w:t>核查机构不</w:t>
      </w:r>
      <w:r>
        <w:rPr>
          <w:rFonts w:hint="eastAsia"/>
          <w:lang w:eastAsia="zh-CN"/>
        </w:rPr>
        <w:t>得</w:t>
      </w:r>
      <w:r>
        <w:t>开展以下活动：</w:t>
      </w:r>
    </w:p>
    <w:p>
      <w:pPr>
        <w:jc w:val="both"/>
      </w:pPr>
      <w:r>
        <w:t>（一）向被核查的企业提供碳排放配额计算、咨询或管理服务；</w:t>
      </w:r>
    </w:p>
    <w:p>
      <w:pPr>
        <w:jc w:val="both"/>
      </w:pPr>
      <w:r>
        <w:t>（二）接受任何对核查活动的客观公正性产生影响的资助、合同或其他形式的服务或产品；</w:t>
      </w:r>
    </w:p>
    <w:p>
      <w:pPr>
        <w:jc w:val="both"/>
      </w:pPr>
      <w:r>
        <w:t>（三）参与碳资产管理、碳交易的活动，或与从事碳咨询和交易的单位存在资产和管理方面的利益关系；</w:t>
      </w:r>
    </w:p>
    <w:p>
      <w:pPr>
        <w:jc w:val="both"/>
      </w:pPr>
      <w:r>
        <w:t>（四）与被核查的企业存在资产和管理方面的利益关系；</w:t>
      </w:r>
    </w:p>
    <w:p>
      <w:pPr>
        <w:jc w:val="both"/>
      </w:pPr>
      <w:r>
        <w:t>（五）为被核查的企业提供有关温室气体排放和减排、监测、测量、报告和校准的咨询服务；</w:t>
      </w:r>
    </w:p>
    <w:p>
      <w:pPr>
        <w:jc w:val="both"/>
      </w:pPr>
      <w:r>
        <w:t>（六）与被核查的企业共享管理人员，或者在3年之内曾在彼此机构内相互受聘过管理人员；</w:t>
      </w:r>
    </w:p>
    <w:p>
      <w:pPr>
        <w:jc w:val="both"/>
      </w:pPr>
      <w:r>
        <w:t>（七）使用具有利益冲突的核查人员；</w:t>
      </w:r>
    </w:p>
    <w:p>
      <w:pPr>
        <w:jc w:val="both"/>
      </w:pPr>
      <w:r>
        <w:t>（八）宣称或暗示如果使用指定的咨询或培训服务，对重点排放单位的排放报告的核查将更为简单、容易等；</w:t>
      </w:r>
    </w:p>
    <w:p>
      <w:pPr>
        <w:jc w:val="both"/>
      </w:pPr>
      <w:r>
        <w:t>（九）其他影响核查工作客观性、公</w:t>
      </w:r>
      <w:r>
        <w:rPr>
          <w:rFonts w:hint="eastAsia"/>
          <w:lang w:eastAsia="zh-CN"/>
        </w:rPr>
        <w:t>正</w:t>
      </w:r>
      <w:r>
        <w:t>性的活动。</w:t>
      </w:r>
    </w:p>
    <w:p>
      <w:pPr>
        <w:jc w:val="both"/>
        <w:outlineLvl w:val="1"/>
      </w:pPr>
      <w:r>
        <w:rPr>
          <w:rFonts w:eastAsia="黑体"/>
        </w:rPr>
        <w:t>第十</w:t>
      </w:r>
      <w:r>
        <w:rPr>
          <w:rFonts w:hint="eastAsia" w:eastAsia="黑体"/>
        </w:rPr>
        <w:t>三</w:t>
      </w:r>
      <w:r>
        <w:rPr>
          <w:rFonts w:eastAsia="黑体"/>
        </w:rPr>
        <w:t>条</w:t>
      </w:r>
      <w:r>
        <w:rPr>
          <w:rFonts w:hint="eastAsia"/>
        </w:rPr>
        <w:t>　开展现场核查时，应至少有两名核查人员在场，且至少</w:t>
      </w:r>
      <w:r>
        <w:rPr>
          <w:rFonts w:hint="eastAsia"/>
          <w:lang w:eastAsia="zh-CN"/>
        </w:rPr>
        <w:t>其中</w:t>
      </w:r>
      <w:r>
        <w:rPr>
          <w:rFonts w:hint="eastAsia"/>
        </w:rPr>
        <w:t>1名成员具备被核查的重点排放单位所在行业的专业知识和工作经验。</w:t>
      </w:r>
    </w:p>
    <w:p>
      <w:pPr>
        <w:jc w:val="both"/>
        <w:outlineLvl w:val="1"/>
      </w:pPr>
      <w:r>
        <w:rPr>
          <w:rFonts w:eastAsia="黑体"/>
        </w:rPr>
        <w:t>第十</w:t>
      </w:r>
      <w:r>
        <w:rPr>
          <w:rFonts w:hint="eastAsia" w:eastAsia="黑体"/>
        </w:rPr>
        <w:t>四</w:t>
      </w:r>
      <w:r>
        <w:rPr>
          <w:rFonts w:eastAsia="黑体"/>
        </w:rPr>
        <w:t>条</w:t>
      </w:r>
      <w:r>
        <w:rPr>
          <w:rFonts w:hint="eastAsia"/>
        </w:rPr>
        <w:t>　核查机构</w:t>
      </w:r>
      <w:r>
        <w:t>对核查过程中发现</w:t>
      </w:r>
      <w:r>
        <w:rPr>
          <w:rFonts w:hint="eastAsia"/>
        </w:rPr>
        <w:t>温室气体</w:t>
      </w:r>
      <w:r>
        <w:t>排放数据弄虚作假</w:t>
      </w:r>
      <w:r>
        <w:rPr>
          <w:rFonts w:hint="eastAsia"/>
          <w:lang w:eastAsia="zh-CN"/>
        </w:rPr>
        <w:t>等</w:t>
      </w:r>
      <w:r>
        <w:t>问题线索，应及时向</w:t>
      </w:r>
      <w:r>
        <w:rPr>
          <w:rFonts w:hint="eastAsia"/>
        </w:rPr>
        <w:t>省级生态环境部门</w:t>
      </w:r>
      <w:r>
        <w:t>报告。</w:t>
      </w:r>
    </w:p>
    <w:p>
      <w:pPr>
        <w:jc w:val="both"/>
        <w:outlineLvl w:val="1"/>
        <w:rPr>
          <w:rFonts w:hint="eastAsia"/>
        </w:rPr>
      </w:pPr>
      <w:r>
        <w:rPr>
          <w:rFonts w:hint="eastAsia" w:eastAsia="黑体"/>
        </w:rPr>
        <w:t>第十五条</w:t>
      </w:r>
      <w:r>
        <w:rPr>
          <w:rFonts w:hint="eastAsia"/>
        </w:rPr>
        <w:t>　核查机构对其提交的核查结论的真实性、完整性和准确性负责。</w:t>
      </w:r>
    </w:p>
    <w:p>
      <w:pPr>
        <w:jc w:val="both"/>
        <w:outlineLvl w:val="1"/>
        <w:rPr>
          <w:rFonts w:hint="eastAsia"/>
        </w:rPr>
      </w:pPr>
      <w:r>
        <w:rPr>
          <w:rFonts w:eastAsia="黑体"/>
        </w:rPr>
        <w:t>第</w:t>
      </w:r>
      <w:r>
        <w:rPr>
          <w:rFonts w:hint="eastAsia" w:eastAsia="黑体"/>
        </w:rPr>
        <w:t>十六</w:t>
      </w:r>
      <w:r>
        <w:rPr>
          <w:rFonts w:eastAsia="黑体"/>
        </w:rPr>
        <w:t>条</w:t>
      </w:r>
      <w:r>
        <w:rPr>
          <w:rFonts w:hint="eastAsia" w:eastAsia="黑体"/>
        </w:rPr>
        <w:t>　</w:t>
      </w:r>
      <w:r>
        <w:rPr>
          <w:rFonts w:hint="eastAsia"/>
        </w:rPr>
        <w:t>核查机构及其核查人员对其从核查工作中所知悉的国家秘密、商业秘密和技术秘密负有保密义务。</w:t>
      </w:r>
    </w:p>
    <w:p>
      <w:pPr>
        <w:jc w:val="both"/>
        <w:outlineLvl w:val="1"/>
      </w:pPr>
      <w:r>
        <w:rPr>
          <w:rFonts w:hint="eastAsia" w:eastAsia="黑体"/>
        </w:rPr>
        <w:t>第十七条　</w:t>
      </w:r>
      <w:r>
        <w:t>核查机构应完整归档保存核查过程的所有记录、支撑材料、内部</w:t>
      </w:r>
      <w:r>
        <w:rPr>
          <w:rFonts w:hint="eastAsia"/>
        </w:rPr>
        <w:t>技术</w:t>
      </w:r>
      <w:r>
        <w:t>评审记录等至少10年。</w:t>
      </w:r>
    </w:p>
    <w:p>
      <w:pPr>
        <w:overflowPunct w:val="0"/>
        <w:topLinePunct/>
        <w:ind w:firstLine="0" w:firstLineChars="0"/>
        <w:jc w:val="center"/>
        <w:outlineLvl w:val="0"/>
        <w:rPr>
          <w:rFonts w:hint="eastAsia" w:eastAsia="黑体"/>
        </w:rPr>
      </w:pPr>
      <w:r>
        <w:rPr>
          <w:rFonts w:eastAsia="黑体"/>
          <w:bCs/>
          <w:color w:val="000000"/>
          <w:kern w:val="0"/>
        </w:rPr>
        <w:t>第四章</w:t>
      </w:r>
      <w:r>
        <w:rPr>
          <w:rFonts w:hint="eastAsia" w:eastAsia="黑体"/>
          <w:bCs/>
          <w:color w:val="000000"/>
          <w:kern w:val="0"/>
        </w:rPr>
        <w:t>　监管评估</w:t>
      </w:r>
    </w:p>
    <w:p>
      <w:pPr>
        <w:jc w:val="both"/>
        <w:outlineLvl w:val="1"/>
      </w:pPr>
      <w:r>
        <w:rPr>
          <w:rFonts w:eastAsia="黑体"/>
        </w:rPr>
        <w:t>第</w:t>
      </w:r>
      <w:r>
        <w:rPr>
          <w:rFonts w:hint="eastAsia" w:eastAsia="黑体"/>
        </w:rPr>
        <w:t>十八</w:t>
      </w:r>
      <w:r>
        <w:rPr>
          <w:rFonts w:eastAsia="黑体"/>
        </w:rPr>
        <w:t>条　</w:t>
      </w:r>
      <w:r>
        <w:t>核查机构应根据核查技术规范及相关工作要求，对核查工作情况和质量开展自评估，并通过</w:t>
      </w:r>
      <w:r>
        <w:rPr>
          <w:rFonts w:hint="eastAsia"/>
        </w:rPr>
        <w:t>全国碳市场</w:t>
      </w:r>
      <w:r>
        <w:t>管理平台</w:t>
      </w:r>
      <w:r>
        <w:rPr>
          <w:rFonts w:hint="eastAsia"/>
        </w:rPr>
        <w:t>等方式</w:t>
      </w:r>
      <w:r>
        <w:t>向</w:t>
      </w:r>
      <w:r>
        <w:rPr>
          <w:rFonts w:hint="eastAsia"/>
        </w:rPr>
        <w:t>省级生态环境部门</w:t>
      </w:r>
      <w:r>
        <w:t>提交。</w:t>
      </w:r>
    </w:p>
    <w:p>
      <w:pPr>
        <w:jc w:val="both"/>
        <w:outlineLvl w:val="1"/>
        <w:rPr>
          <w:rFonts w:hint="eastAsia" w:eastAsia="黑体"/>
        </w:rPr>
      </w:pPr>
      <w:r>
        <w:rPr>
          <w:rFonts w:eastAsia="黑体"/>
        </w:rPr>
        <w:t>第</w:t>
      </w:r>
      <w:r>
        <w:rPr>
          <w:rFonts w:hint="eastAsia" w:eastAsia="黑体"/>
        </w:rPr>
        <w:t>十九</w:t>
      </w:r>
      <w:r>
        <w:rPr>
          <w:rFonts w:eastAsia="黑体"/>
        </w:rPr>
        <w:t>条　</w:t>
      </w:r>
      <w:r>
        <w:rPr>
          <w:rFonts w:hint="eastAsia"/>
        </w:rPr>
        <w:t>省级生态环境部门负责制定核查机构评估指标体系，</w:t>
      </w:r>
      <w:r>
        <w:t>定期对核查机构进行评估</w:t>
      </w:r>
      <w:r>
        <w:rPr>
          <w:rFonts w:hint="eastAsia" w:eastAsia="黑体"/>
        </w:rPr>
        <w:t>。</w:t>
      </w:r>
    </w:p>
    <w:p>
      <w:pPr>
        <w:jc w:val="both"/>
        <w:outlineLvl w:val="1"/>
      </w:pPr>
      <w:r>
        <w:rPr>
          <w:rFonts w:eastAsia="黑体"/>
        </w:rPr>
        <w:t>第</w:t>
      </w:r>
      <w:r>
        <w:rPr>
          <w:rFonts w:hint="eastAsia" w:eastAsia="黑体"/>
        </w:rPr>
        <w:t>二十</w:t>
      </w:r>
      <w:r>
        <w:rPr>
          <w:rFonts w:eastAsia="黑体"/>
        </w:rPr>
        <w:t>条　</w:t>
      </w:r>
      <w:r>
        <w:rPr>
          <w:rFonts w:hint="eastAsia"/>
        </w:rPr>
        <w:t>省级生态环境部门对核查机构的下列情况进行评估：</w:t>
      </w:r>
    </w:p>
    <w:p>
      <w:pPr>
        <w:jc w:val="both"/>
      </w:pPr>
      <w:r>
        <w:t>（一）核查</w:t>
      </w:r>
      <w:r>
        <w:rPr>
          <w:rFonts w:hint="eastAsia"/>
        </w:rPr>
        <w:t>工作</w:t>
      </w:r>
      <w:r>
        <w:t>及时性；</w:t>
      </w:r>
    </w:p>
    <w:p>
      <w:pPr>
        <w:jc w:val="both"/>
      </w:pPr>
      <w:r>
        <w:t>（二）核查</w:t>
      </w:r>
      <w:r>
        <w:rPr>
          <w:rFonts w:hint="eastAsia"/>
        </w:rPr>
        <w:t>工作</w:t>
      </w:r>
      <w:r>
        <w:t>合规性；</w:t>
      </w:r>
    </w:p>
    <w:p>
      <w:pPr>
        <w:jc w:val="both"/>
      </w:pPr>
      <w:r>
        <w:t>（三）核查工作质量</w:t>
      </w:r>
      <w:r>
        <w:rPr>
          <w:rFonts w:hint="eastAsia"/>
        </w:rPr>
        <w:t>；</w:t>
      </w:r>
    </w:p>
    <w:p>
      <w:pPr>
        <w:jc w:val="both"/>
      </w:pPr>
      <w:r>
        <w:rPr>
          <w:rFonts w:hint="eastAsia"/>
        </w:rPr>
        <w:t>（四）其他相关工作。</w:t>
      </w:r>
    </w:p>
    <w:p>
      <w:pPr>
        <w:jc w:val="both"/>
        <w:outlineLvl w:val="1"/>
        <w:rPr>
          <w:rFonts w:hint="eastAsia"/>
        </w:rPr>
      </w:pPr>
      <w:r>
        <w:rPr>
          <w:rFonts w:eastAsia="黑体"/>
        </w:rPr>
        <w:t>第二十</w:t>
      </w:r>
      <w:r>
        <w:rPr>
          <w:rFonts w:hint="eastAsia" w:eastAsia="黑体"/>
        </w:rPr>
        <w:t>一</w:t>
      </w:r>
      <w:r>
        <w:rPr>
          <w:rFonts w:eastAsia="黑体"/>
        </w:rPr>
        <w:t>条</w:t>
      </w:r>
      <w:r>
        <w:rPr>
          <w:rFonts w:hint="eastAsia" w:eastAsia="黑体"/>
        </w:rPr>
        <w:t>　</w:t>
      </w:r>
      <w:r>
        <w:t>核查机构</w:t>
      </w:r>
      <w:r>
        <w:rPr>
          <w:rFonts w:hint="eastAsia"/>
        </w:rPr>
        <w:t>评估</w:t>
      </w:r>
      <w:r>
        <w:t>采用百分制，满分100分。</w:t>
      </w:r>
      <w:r>
        <w:rPr>
          <w:rFonts w:hint="eastAsia"/>
        </w:rPr>
        <w:t>评估</w:t>
      </w:r>
      <w:r>
        <w:t>结果分为以下四</w:t>
      </w:r>
      <w:r>
        <w:rPr>
          <w:rFonts w:hint="eastAsia"/>
        </w:rPr>
        <w:t>个等级。</w:t>
      </w:r>
    </w:p>
    <w:p>
      <w:pPr>
        <w:jc w:val="both"/>
      </w:pPr>
      <w:r>
        <w:t>（一）优秀。</w:t>
      </w:r>
      <w:r>
        <w:rPr>
          <w:rFonts w:hint="eastAsia"/>
        </w:rPr>
        <w:t>评估</w:t>
      </w:r>
      <w:r>
        <w:t>得分不低于90分。</w:t>
      </w:r>
    </w:p>
    <w:p>
      <w:pPr>
        <w:jc w:val="both"/>
      </w:pPr>
      <w:r>
        <w:t>（二）良好。</w:t>
      </w:r>
      <w:r>
        <w:rPr>
          <w:rFonts w:hint="eastAsia"/>
        </w:rPr>
        <w:t>评估</w:t>
      </w:r>
      <w:r>
        <w:t>得分低于90分、不低于80分。</w:t>
      </w:r>
    </w:p>
    <w:p>
      <w:pPr>
        <w:jc w:val="both"/>
      </w:pPr>
      <w:r>
        <w:t>（三）合格。</w:t>
      </w:r>
      <w:r>
        <w:rPr>
          <w:rFonts w:hint="eastAsia"/>
        </w:rPr>
        <w:t>评估</w:t>
      </w:r>
      <w:r>
        <w:t>得分低于80分、不低于60分。</w:t>
      </w:r>
    </w:p>
    <w:p>
      <w:pPr>
        <w:jc w:val="both"/>
      </w:pPr>
      <w:r>
        <w:t>（四）不合格。</w:t>
      </w:r>
      <w:r>
        <w:rPr>
          <w:rFonts w:hint="eastAsia"/>
        </w:rPr>
        <w:t>评估</w:t>
      </w:r>
      <w:r>
        <w:t>得分低于60分。</w:t>
      </w:r>
    </w:p>
    <w:p>
      <w:pPr>
        <w:jc w:val="both"/>
        <w:outlineLvl w:val="1"/>
        <w:rPr>
          <w:rFonts w:hint="eastAsia"/>
          <w:color w:val="FF0000"/>
        </w:rPr>
      </w:pPr>
      <w:r>
        <w:rPr>
          <w:rFonts w:eastAsia="黑体"/>
        </w:rPr>
        <w:t>第二十</w:t>
      </w:r>
      <w:r>
        <w:rPr>
          <w:rFonts w:hint="eastAsia" w:eastAsia="黑体"/>
        </w:rPr>
        <w:t>二</w:t>
      </w:r>
      <w:r>
        <w:rPr>
          <w:rFonts w:eastAsia="黑体"/>
        </w:rPr>
        <w:t>条　</w:t>
      </w:r>
      <w:r>
        <w:rPr>
          <w:rFonts w:hint="eastAsia"/>
        </w:rPr>
        <w:t>核查机构存在以下行为之一的，评估结果直接评定为不合格：</w:t>
      </w:r>
    </w:p>
    <w:p>
      <w:pPr>
        <w:jc w:val="both"/>
      </w:pPr>
      <w:r>
        <w:t>（一）</w:t>
      </w:r>
      <w:r>
        <w:rPr>
          <w:rFonts w:hint="eastAsia"/>
        </w:rPr>
        <w:t>出现本办法第十二条任一规定情形的</w:t>
      </w:r>
      <w:r>
        <w:t>；</w:t>
      </w:r>
    </w:p>
    <w:p>
      <w:pPr>
        <w:jc w:val="both"/>
        <w:rPr>
          <w:rFonts w:hint="eastAsia"/>
        </w:rPr>
      </w:pPr>
      <w:r>
        <w:t>（二）</w:t>
      </w:r>
      <w:r>
        <w:rPr>
          <w:rFonts w:hint="eastAsia"/>
        </w:rPr>
        <w:t>出具虚假、不实的核查报告，伪造、编造相关数据及材料的；</w:t>
      </w:r>
    </w:p>
    <w:p>
      <w:pPr>
        <w:jc w:val="both"/>
        <w:rPr>
          <w:rFonts w:hint="eastAsia"/>
        </w:rPr>
      </w:pPr>
      <w:r>
        <w:t>（</w:t>
      </w:r>
      <w:r>
        <w:rPr>
          <w:rFonts w:hint="eastAsia"/>
        </w:rPr>
        <w:t>三</w:t>
      </w:r>
      <w:r>
        <w:t>）</w:t>
      </w:r>
      <w:r>
        <w:rPr>
          <w:rFonts w:hint="eastAsia"/>
        </w:rPr>
        <w:t>存在关键参数选取错误等重大</w:t>
      </w:r>
      <w:r>
        <w:rPr>
          <w:rFonts w:hint="eastAsia"/>
          <w:lang w:eastAsia="zh-CN"/>
        </w:rPr>
        <w:t>失误</w:t>
      </w:r>
      <w:r>
        <w:rPr>
          <w:rFonts w:hint="eastAsia"/>
        </w:rPr>
        <w:t>，导致核查报告质量低劣的；</w:t>
      </w:r>
    </w:p>
    <w:p>
      <w:pPr>
        <w:jc w:val="both"/>
        <w:rPr>
          <w:rFonts w:hint="eastAsia"/>
        </w:rPr>
      </w:pPr>
      <w:r>
        <w:t>（</w:t>
      </w:r>
      <w:r>
        <w:rPr>
          <w:rFonts w:hint="eastAsia"/>
        </w:rPr>
        <w:t>四</w:t>
      </w:r>
      <w:r>
        <w:t>）</w:t>
      </w:r>
      <w:r>
        <w:rPr>
          <w:rFonts w:hint="eastAsia"/>
        </w:rPr>
        <w:t>未经许可擅自使用或者发布所核查单位的商业秘密或温室气体排放信息的；</w:t>
      </w:r>
    </w:p>
    <w:p>
      <w:pPr>
        <w:jc w:val="both"/>
        <w:rPr>
          <w:rFonts w:hint="eastAsia"/>
        </w:rPr>
      </w:pPr>
      <w:r>
        <w:t>（</w:t>
      </w:r>
      <w:r>
        <w:rPr>
          <w:rFonts w:hint="eastAsia"/>
        </w:rPr>
        <w:t>五</w:t>
      </w:r>
      <w:r>
        <w:t>）</w:t>
      </w:r>
      <w:r>
        <w:rPr>
          <w:rFonts w:hint="eastAsia"/>
        </w:rPr>
        <w:t>利用核查工作谋取不正当利益的；</w:t>
      </w:r>
    </w:p>
    <w:p>
      <w:pPr>
        <w:jc w:val="both"/>
        <w:rPr>
          <w:rFonts w:hint="eastAsia"/>
        </w:rPr>
      </w:pPr>
      <w:r>
        <w:t>（</w:t>
      </w:r>
      <w:r>
        <w:rPr>
          <w:rFonts w:hint="eastAsia"/>
        </w:rPr>
        <w:t>六</w:t>
      </w:r>
      <w:r>
        <w:t>）</w:t>
      </w:r>
      <w:r>
        <w:rPr>
          <w:rFonts w:hint="eastAsia"/>
        </w:rPr>
        <w:t>对核查任务进行分包、转包的；</w:t>
      </w:r>
    </w:p>
    <w:p>
      <w:pPr>
        <w:jc w:val="both"/>
      </w:pPr>
      <w:r>
        <w:rPr>
          <w:rFonts w:hint="eastAsia"/>
        </w:rPr>
        <w:t>（七）其他违反法律法规规定的行为。</w:t>
      </w:r>
    </w:p>
    <w:p>
      <w:pPr>
        <w:jc w:val="both"/>
        <w:outlineLvl w:val="1"/>
        <w:rPr>
          <w:rFonts w:hint="eastAsia"/>
          <w:highlight w:val="none"/>
        </w:rPr>
      </w:pPr>
      <w:r>
        <w:rPr>
          <w:rFonts w:eastAsia="黑体"/>
          <w:highlight w:val="none"/>
        </w:rPr>
        <w:t>第二十</w:t>
      </w:r>
      <w:r>
        <w:rPr>
          <w:rFonts w:hint="eastAsia" w:eastAsia="黑体"/>
          <w:highlight w:val="none"/>
        </w:rPr>
        <w:t>三</w:t>
      </w:r>
      <w:r>
        <w:rPr>
          <w:rFonts w:eastAsia="黑体"/>
          <w:highlight w:val="none"/>
        </w:rPr>
        <w:t>条　</w:t>
      </w:r>
      <w:r>
        <w:rPr>
          <w:highlight w:val="none"/>
        </w:rPr>
        <w:t>省级生态环境部门应在</w:t>
      </w:r>
      <w:r>
        <w:rPr>
          <w:rFonts w:hint="eastAsia"/>
          <w:highlight w:val="none"/>
        </w:rPr>
        <w:t>评估</w:t>
      </w:r>
      <w:r>
        <w:rPr>
          <w:highlight w:val="none"/>
        </w:rPr>
        <w:t>完成后</w:t>
      </w:r>
      <w:r>
        <w:rPr>
          <w:rFonts w:hint="eastAsia"/>
          <w:highlight w:val="none"/>
          <w:lang w:val="en-US" w:eastAsia="zh-CN"/>
        </w:rPr>
        <w:t>5</w:t>
      </w:r>
      <w:r>
        <w:rPr>
          <w:highlight w:val="none"/>
        </w:rPr>
        <w:t>个工作日内，将</w:t>
      </w:r>
      <w:r>
        <w:rPr>
          <w:rFonts w:hint="eastAsia"/>
          <w:highlight w:val="none"/>
        </w:rPr>
        <w:t>评估</w:t>
      </w:r>
      <w:r>
        <w:rPr>
          <w:highlight w:val="none"/>
        </w:rPr>
        <w:t>结果书面告知核查机构</w:t>
      </w:r>
      <w:r>
        <w:rPr>
          <w:rFonts w:hint="eastAsia"/>
          <w:highlight w:val="none"/>
        </w:rPr>
        <w:t>。</w:t>
      </w:r>
    </w:p>
    <w:p>
      <w:pPr>
        <w:jc w:val="both"/>
        <w:rPr>
          <w:highlight w:val="none"/>
        </w:rPr>
      </w:pPr>
      <w:r>
        <w:rPr>
          <w:highlight w:val="none"/>
        </w:rPr>
        <w:t>核查机构如对</w:t>
      </w:r>
      <w:r>
        <w:rPr>
          <w:rFonts w:hint="eastAsia"/>
          <w:highlight w:val="none"/>
        </w:rPr>
        <w:t>评估</w:t>
      </w:r>
      <w:r>
        <w:rPr>
          <w:highlight w:val="none"/>
        </w:rPr>
        <w:t>结果有异议，可以在收到结果之日起</w:t>
      </w:r>
      <w:r>
        <w:rPr>
          <w:rFonts w:hint="eastAsia"/>
          <w:highlight w:val="none"/>
          <w:lang w:val="en-US" w:eastAsia="zh-CN"/>
        </w:rPr>
        <w:t>5</w:t>
      </w:r>
      <w:r>
        <w:rPr>
          <w:highlight w:val="none"/>
        </w:rPr>
        <w:t>个工作日内以书面形式向</w:t>
      </w:r>
      <w:r>
        <w:rPr>
          <w:rFonts w:hint="eastAsia"/>
          <w:highlight w:val="none"/>
        </w:rPr>
        <w:t>省级生态环境</w:t>
      </w:r>
      <w:r>
        <w:rPr>
          <w:highlight w:val="none"/>
        </w:rPr>
        <w:t>部门提出申诉。</w:t>
      </w:r>
    </w:p>
    <w:p>
      <w:pPr>
        <w:jc w:val="both"/>
        <w:outlineLvl w:val="1"/>
      </w:pPr>
      <w:r>
        <w:rPr>
          <w:rFonts w:eastAsia="黑体"/>
        </w:rPr>
        <w:t>第</w:t>
      </w:r>
      <w:r>
        <w:rPr>
          <w:rFonts w:hint="eastAsia" w:eastAsia="黑体"/>
        </w:rPr>
        <w:t>二</w:t>
      </w:r>
      <w:r>
        <w:rPr>
          <w:rFonts w:eastAsia="黑体"/>
        </w:rPr>
        <w:t>十</w:t>
      </w:r>
      <w:r>
        <w:rPr>
          <w:rFonts w:hint="eastAsia" w:eastAsia="黑体"/>
        </w:rPr>
        <w:t>四</w:t>
      </w:r>
      <w:r>
        <w:rPr>
          <w:rFonts w:eastAsia="黑体"/>
        </w:rPr>
        <w:t>条　</w:t>
      </w:r>
      <w:r>
        <w:t>省级生态环境厅部门应通过全国碳市场管理平台或</w:t>
      </w:r>
      <w:r>
        <w:rPr>
          <w:rFonts w:hint="eastAsia"/>
          <w:lang w:eastAsia="zh-CN"/>
        </w:rPr>
        <w:t>官方</w:t>
      </w:r>
      <w:r>
        <w:t>网站向社会公开核查机构评估结果。</w:t>
      </w:r>
    </w:p>
    <w:p>
      <w:pPr>
        <w:jc w:val="both"/>
        <w:outlineLvl w:val="1"/>
      </w:pPr>
      <w:r>
        <w:rPr>
          <w:rFonts w:eastAsia="黑体"/>
        </w:rPr>
        <w:t>第</w:t>
      </w:r>
      <w:r>
        <w:rPr>
          <w:rFonts w:hint="eastAsia" w:eastAsia="黑体"/>
        </w:rPr>
        <w:t>二</w:t>
      </w:r>
      <w:r>
        <w:rPr>
          <w:rFonts w:eastAsia="黑体"/>
        </w:rPr>
        <w:t>十</w:t>
      </w:r>
      <w:r>
        <w:rPr>
          <w:rFonts w:hint="eastAsia" w:eastAsia="黑体"/>
        </w:rPr>
        <w:t>五</w:t>
      </w:r>
      <w:r>
        <w:rPr>
          <w:rFonts w:eastAsia="黑体"/>
        </w:rPr>
        <w:t>条　</w:t>
      </w:r>
      <w:r>
        <w:rPr>
          <w:rFonts w:hint="eastAsia"/>
        </w:rPr>
        <w:t>对评估为不合格的</w:t>
      </w:r>
      <w:r>
        <w:rPr>
          <w:rFonts w:hint="eastAsia"/>
          <w:lang w:eastAsia="zh-CN"/>
        </w:rPr>
        <w:t>核查</w:t>
      </w:r>
      <w:r>
        <w:rPr>
          <w:rFonts w:hint="eastAsia"/>
        </w:rPr>
        <w:t>机构，省级生态环境部门</w:t>
      </w:r>
      <w:r>
        <w:rPr>
          <w:rFonts w:hint="eastAsia"/>
          <w:lang w:eastAsia="zh-CN"/>
        </w:rPr>
        <w:t>应</w:t>
      </w:r>
      <w:r>
        <w:rPr>
          <w:rFonts w:hint="eastAsia"/>
        </w:rPr>
        <w:t>审慎委托其承担后续年度核查工作。</w:t>
      </w:r>
    </w:p>
    <w:p>
      <w:pPr>
        <w:jc w:val="center"/>
        <w:outlineLvl w:val="0"/>
        <w:rPr>
          <w:rFonts w:hint="eastAsia" w:eastAsia="黑体"/>
        </w:rPr>
      </w:pPr>
      <w:r>
        <w:rPr>
          <w:rFonts w:eastAsia="黑体"/>
          <w:bCs/>
          <w:color w:val="000000"/>
          <w:kern w:val="0"/>
        </w:rPr>
        <w:t>第五章</w:t>
      </w:r>
      <w:r>
        <w:rPr>
          <w:rFonts w:hint="eastAsia" w:eastAsia="黑体"/>
          <w:bCs/>
          <w:color w:val="000000"/>
          <w:kern w:val="0"/>
        </w:rPr>
        <w:t>　</w:t>
      </w:r>
      <w:r>
        <w:rPr>
          <w:rFonts w:hint="eastAsia" w:eastAsia="黑体"/>
          <w:bCs/>
          <w:color w:val="000000"/>
          <w:kern w:val="0"/>
          <w:lang w:eastAsia="zh-CN"/>
        </w:rPr>
        <w:t>相关</w:t>
      </w:r>
      <w:r>
        <w:rPr>
          <w:rFonts w:hint="eastAsia" w:eastAsia="黑体"/>
          <w:bCs/>
          <w:color w:val="000000"/>
          <w:kern w:val="0"/>
        </w:rPr>
        <w:t>责任</w:t>
      </w:r>
    </w:p>
    <w:p>
      <w:pPr>
        <w:jc w:val="both"/>
        <w:outlineLvl w:val="1"/>
        <w:rPr>
          <w:color w:val="FF0000"/>
        </w:rPr>
      </w:pPr>
      <w:r>
        <w:rPr>
          <w:rFonts w:eastAsia="黑体"/>
        </w:rPr>
        <w:t>第</w:t>
      </w:r>
      <w:r>
        <w:rPr>
          <w:rFonts w:hint="eastAsia" w:eastAsia="黑体"/>
        </w:rPr>
        <w:t>二十六</w:t>
      </w:r>
      <w:r>
        <w:rPr>
          <w:rFonts w:eastAsia="黑体"/>
        </w:rPr>
        <w:t>条　</w:t>
      </w:r>
      <w:r>
        <w:rPr>
          <w:rFonts w:hint="eastAsia"/>
        </w:rPr>
        <w:t>核查机构弄虚作假的，由省级生态环境部门解除委托关系，将相关信息记入其信用记录；</w:t>
      </w:r>
      <w:r>
        <w:t>涉嫌构成犯罪的，生态环境部门应当</w:t>
      </w:r>
      <w:r>
        <w:rPr>
          <w:rFonts w:hint="eastAsia"/>
        </w:rPr>
        <w:t>将相关线索</w:t>
      </w:r>
      <w:r>
        <w:t>依法移</w:t>
      </w:r>
      <w:r>
        <w:rPr>
          <w:rFonts w:hint="eastAsia"/>
        </w:rPr>
        <w:t>交</w:t>
      </w:r>
      <w:r>
        <w:t>司法机关。</w:t>
      </w:r>
    </w:p>
    <w:p>
      <w:pPr>
        <w:jc w:val="both"/>
        <w:outlineLvl w:val="1"/>
        <w:rPr>
          <w:rFonts w:hint="eastAsia" w:eastAsia="黑体"/>
          <w:bCs/>
          <w:color w:val="000000"/>
          <w:kern w:val="0"/>
        </w:rPr>
      </w:pPr>
      <w:r>
        <w:rPr>
          <w:rFonts w:hint="eastAsia" w:eastAsia="黑体"/>
        </w:rPr>
        <w:t>第二十七条　</w:t>
      </w:r>
      <w:r>
        <w:rPr>
          <w:rFonts w:hint="eastAsia"/>
        </w:rPr>
        <w:t>核查机构及其人员，违反相关法律和规定，造成社会、企业、个人经济损失的，依法承担相应责任。</w:t>
      </w:r>
    </w:p>
    <w:p>
      <w:pPr>
        <w:jc w:val="both"/>
        <w:outlineLvl w:val="1"/>
        <w:rPr>
          <w:rFonts w:hint="eastAsia"/>
        </w:rPr>
      </w:pPr>
      <w:r>
        <w:rPr>
          <w:rFonts w:eastAsia="黑体"/>
        </w:rPr>
        <w:t>第</w:t>
      </w:r>
      <w:r>
        <w:rPr>
          <w:rFonts w:hint="eastAsia" w:eastAsia="黑体"/>
        </w:rPr>
        <w:t>二</w:t>
      </w:r>
      <w:r>
        <w:rPr>
          <w:rFonts w:eastAsia="黑体"/>
        </w:rPr>
        <w:t>十</w:t>
      </w:r>
      <w:r>
        <w:rPr>
          <w:rFonts w:hint="eastAsia" w:eastAsia="黑体"/>
        </w:rPr>
        <w:t>八条</w:t>
      </w:r>
      <w:r>
        <w:rPr>
          <w:rFonts w:eastAsia="黑体"/>
        </w:rPr>
        <w:t>　</w:t>
      </w:r>
      <w:r>
        <w:rPr>
          <w:rFonts w:hint="eastAsia"/>
        </w:rPr>
        <w:t>任何单位和个人</w:t>
      </w:r>
      <w:r>
        <w:t>发现核查机构</w:t>
      </w:r>
      <w:r>
        <w:rPr>
          <w:rFonts w:hint="eastAsia"/>
        </w:rPr>
        <w:t>及其人员</w:t>
      </w:r>
      <w:r>
        <w:t>有违反本办法规定行为的，可向</w:t>
      </w:r>
      <w:r>
        <w:rPr>
          <w:rFonts w:hint="eastAsia"/>
        </w:rPr>
        <w:t>市级以上生态环境部门举报。接受举报的生态环境部门应当依法依规及时调查处理，并对举报人信息予以保密。</w:t>
      </w:r>
    </w:p>
    <w:p>
      <w:pPr>
        <w:overflowPunct w:val="0"/>
        <w:topLinePunct/>
        <w:ind w:firstLine="0" w:firstLineChars="0"/>
        <w:jc w:val="center"/>
        <w:outlineLvl w:val="0"/>
        <w:rPr>
          <w:rFonts w:eastAsia="黑体"/>
          <w:bCs/>
          <w:color w:val="000000"/>
          <w:kern w:val="0"/>
        </w:rPr>
      </w:pPr>
      <w:r>
        <w:rPr>
          <w:rFonts w:eastAsia="黑体"/>
          <w:bCs/>
          <w:color w:val="000000"/>
          <w:kern w:val="0"/>
        </w:rPr>
        <w:t>第六章</w:t>
      </w:r>
      <w:r>
        <w:rPr>
          <w:rFonts w:hint="eastAsia" w:eastAsia="黑体"/>
          <w:bCs/>
          <w:color w:val="000000"/>
          <w:kern w:val="0"/>
        </w:rPr>
        <w:t>　</w:t>
      </w:r>
      <w:r>
        <w:rPr>
          <w:rFonts w:eastAsia="黑体"/>
          <w:bCs/>
          <w:color w:val="000000"/>
          <w:kern w:val="0"/>
        </w:rPr>
        <w:t>附</w:t>
      </w:r>
      <w:r>
        <w:rPr>
          <w:rFonts w:hint="eastAsia" w:eastAsia="黑体"/>
          <w:bCs/>
          <w:color w:val="000000"/>
          <w:kern w:val="0"/>
        </w:rPr>
        <w:t>　</w:t>
      </w:r>
      <w:r>
        <w:rPr>
          <w:rFonts w:eastAsia="黑体"/>
          <w:bCs/>
          <w:color w:val="000000"/>
          <w:kern w:val="0"/>
        </w:rPr>
        <w:t>则</w:t>
      </w:r>
    </w:p>
    <w:p>
      <w:pPr>
        <w:jc w:val="both"/>
        <w:outlineLvl w:val="1"/>
        <w:rPr>
          <w:bCs/>
          <w:color w:val="000000"/>
          <w:kern w:val="0"/>
        </w:rPr>
      </w:pPr>
      <w:r>
        <w:rPr>
          <w:rFonts w:eastAsia="黑体"/>
        </w:rPr>
        <w:t>第</w:t>
      </w:r>
      <w:r>
        <w:rPr>
          <w:rFonts w:hint="eastAsia" w:eastAsia="黑体"/>
        </w:rPr>
        <w:t>二十九</w:t>
      </w:r>
      <w:r>
        <w:rPr>
          <w:rFonts w:eastAsia="黑体"/>
        </w:rPr>
        <w:t>条　</w:t>
      </w:r>
      <w:r>
        <w:rPr>
          <w:bCs/>
          <w:color w:val="000000"/>
          <w:kern w:val="0"/>
        </w:rPr>
        <w:t>本办法由</w:t>
      </w:r>
      <w:r>
        <w:rPr>
          <w:rFonts w:hint="eastAsia"/>
          <w:bCs/>
          <w:color w:val="000000"/>
          <w:kern w:val="0"/>
          <w:lang w:eastAsia="zh-CN"/>
        </w:rPr>
        <w:t>四川省生态环境厅</w:t>
      </w:r>
      <w:bookmarkStart w:id="1" w:name="_GoBack"/>
      <w:bookmarkEnd w:id="1"/>
      <w:r>
        <w:rPr>
          <w:bCs/>
          <w:color w:val="000000"/>
          <w:kern w:val="0"/>
        </w:rPr>
        <w:t>负责解释。</w:t>
      </w:r>
    </w:p>
    <w:p>
      <w:pPr>
        <w:jc w:val="both"/>
        <w:outlineLvl w:val="1"/>
        <w:rPr>
          <w:sz w:val="24"/>
          <w:szCs w:val="24"/>
        </w:rPr>
      </w:pPr>
      <w:r>
        <w:rPr>
          <w:rFonts w:eastAsia="黑体"/>
        </w:rPr>
        <w:t>第</w:t>
      </w:r>
      <w:r>
        <w:rPr>
          <w:rFonts w:hint="eastAsia" w:eastAsia="黑体"/>
        </w:rPr>
        <w:t>三十</w:t>
      </w:r>
      <w:r>
        <w:rPr>
          <w:rFonts w:eastAsia="黑体"/>
        </w:rPr>
        <w:t>条　</w:t>
      </w:r>
      <w:r>
        <w:t>本办法自　　年　月　日起施行。</w:t>
      </w:r>
    </w:p>
    <w:sectPr>
      <w:headerReference r:id="rId5" w:type="default"/>
      <w:footerReference r:id="rId7" w:type="default"/>
      <w:headerReference r:id="rId6" w:type="even"/>
      <w:footerReference r:id="rId8" w:type="even"/>
      <w:pgSz w:w="11906" w:h="16838"/>
      <w:pgMar w:top="1440" w:right="1803" w:bottom="1440" w:left="1803" w:header="851" w:footer="992" w:gutter="0"/>
      <w:cols w:space="720"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jc w:val="right"/>
      <w:rPr>
        <w:rFonts w:ascii="宋体" w:hAnsi="宋体" w:eastAsia="宋体"/>
        <w:sz w:val="28"/>
        <w:szCs w:val="28"/>
      </w:rPr>
    </w:pPr>
    <w:r>
      <w:rPr>
        <w:rFonts w:hint="eastAsia" w:ascii="仿宋_GB2312"/>
        <w:sz w:val="32"/>
        <w:szCs w:val="32"/>
      </w:rPr>
      <w:t xml:space="preserve">— </w:t>
    </w:r>
    <w:r>
      <w:rPr>
        <w:rFonts w:hint="eastAsia" w:ascii="仿宋_GB2312"/>
        <w:sz w:val="32"/>
        <w:szCs w:val="32"/>
      </w:rPr>
      <w:fldChar w:fldCharType="begin"/>
    </w:r>
    <w:r>
      <w:rPr>
        <w:rFonts w:hint="eastAsia" w:ascii="仿宋_GB2312"/>
        <w:sz w:val="32"/>
        <w:szCs w:val="32"/>
      </w:rPr>
      <w:instrText xml:space="preserve">PAGE   \* MERGEFORMAT</w:instrText>
    </w:r>
    <w:r>
      <w:rPr>
        <w:rFonts w:hint="eastAsia" w:ascii="仿宋_GB2312"/>
        <w:sz w:val="32"/>
        <w:szCs w:val="32"/>
      </w:rPr>
      <w:fldChar w:fldCharType="separate"/>
    </w:r>
    <w:r>
      <w:rPr>
        <w:rFonts w:hint="eastAsia" w:ascii="仿宋_GB2312"/>
        <w:sz w:val="32"/>
        <w:szCs w:val="32"/>
        <w:lang w:val="zh-CN"/>
      </w:rPr>
      <w:t>2</w:t>
    </w:r>
    <w:r>
      <w:rPr>
        <w:rFonts w:hint="eastAsia" w:ascii="仿宋_GB2312"/>
        <w:sz w:val="32"/>
        <w:szCs w:val="32"/>
      </w:rPr>
      <w:fldChar w:fldCharType="end"/>
    </w:r>
    <w:r>
      <w:rPr>
        <w:rFonts w:hint="eastAsia" w:ascii="仿宋_GB2312"/>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r>
      <w:rPr>
        <w:rFonts w:hint="eastAsia" w:ascii="仿宋_GB2312"/>
        <w:sz w:val="32"/>
        <w:szCs w:val="32"/>
      </w:rPr>
      <w:t xml:space="preserve">— </w:t>
    </w:r>
    <w:r>
      <w:rPr>
        <w:rFonts w:hint="eastAsia" w:ascii="仿宋_GB2312"/>
        <w:sz w:val="32"/>
        <w:szCs w:val="32"/>
      </w:rPr>
      <w:fldChar w:fldCharType="begin"/>
    </w:r>
    <w:r>
      <w:rPr>
        <w:rFonts w:hint="eastAsia" w:ascii="仿宋_GB2312"/>
        <w:sz w:val="32"/>
        <w:szCs w:val="32"/>
      </w:rPr>
      <w:instrText xml:space="preserve">PAGE   \* MERGEFORMAT</w:instrText>
    </w:r>
    <w:r>
      <w:rPr>
        <w:rFonts w:hint="eastAsia" w:ascii="仿宋_GB2312"/>
        <w:sz w:val="32"/>
        <w:szCs w:val="32"/>
      </w:rPr>
      <w:fldChar w:fldCharType="separate"/>
    </w:r>
    <w:r>
      <w:rPr>
        <w:rFonts w:hint="eastAsia" w:ascii="仿宋_GB2312"/>
        <w:sz w:val="32"/>
        <w:szCs w:val="32"/>
        <w:lang w:val="zh-CN"/>
      </w:rPr>
      <w:t>2</w:t>
    </w:r>
    <w:r>
      <w:rPr>
        <w:rFonts w:hint="eastAsia" w:ascii="仿宋_GB2312"/>
        <w:sz w:val="32"/>
        <w:szCs w:val="32"/>
      </w:rPr>
      <w:fldChar w:fldCharType="end"/>
    </w:r>
    <w:r>
      <w:rPr>
        <w:rFonts w:hint="eastAsia" w:ascii="仿宋_GB2312"/>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907B3"/>
    <w:multiLevelType w:val="multilevel"/>
    <w:tmpl w:val="1C2907B3"/>
    <w:lvl w:ilvl="0" w:tentative="0">
      <w:start w:val="1"/>
      <w:numFmt w:val="decimal"/>
      <w:pStyle w:val="10"/>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614134"/>
    <w:multiLevelType w:val="multilevel"/>
    <w:tmpl w:val="25614134"/>
    <w:lvl w:ilvl="0" w:tentative="0">
      <w:start w:val="1"/>
      <w:numFmt w:val="chineseCountingThousand"/>
      <w:pStyle w:val="7"/>
      <w:lvlText w:val="(%1)"/>
      <w:lvlJc w:val="left"/>
      <w:pPr>
        <w:ind w:left="440" w:hanging="440"/>
      </w:pPr>
      <w:rPr>
        <w:rFonts w:hint="eastAsia" w:ascii="仿宋_GB2312" w:eastAsia="仿宋_GB2312"/>
        <w:sz w:val="32"/>
        <w:szCs w:val="32"/>
      </w:rPr>
    </w:lvl>
    <w:lvl w:ilvl="1" w:tentative="0">
      <w:start w:val="1"/>
      <w:numFmt w:val="lowerLetter"/>
      <w:lvlText w:val="%2)"/>
      <w:lvlJc w:val="left"/>
      <w:pPr>
        <w:ind w:left="415" w:hanging="440"/>
      </w:pPr>
    </w:lvl>
    <w:lvl w:ilvl="2" w:tentative="0">
      <w:start w:val="1"/>
      <w:numFmt w:val="lowerRoman"/>
      <w:lvlText w:val="%3."/>
      <w:lvlJc w:val="right"/>
      <w:pPr>
        <w:ind w:left="855" w:hanging="440"/>
      </w:pPr>
    </w:lvl>
    <w:lvl w:ilvl="3" w:tentative="0">
      <w:start w:val="1"/>
      <w:numFmt w:val="decimal"/>
      <w:lvlText w:val="%4."/>
      <w:lvlJc w:val="left"/>
      <w:pPr>
        <w:ind w:left="1295" w:hanging="440"/>
      </w:pPr>
    </w:lvl>
    <w:lvl w:ilvl="4" w:tentative="0">
      <w:start w:val="1"/>
      <w:numFmt w:val="lowerLetter"/>
      <w:lvlText w:val="%5)"/>
      <w:lvlJc w:val="left"/>
      <w:pPr>
        <w:ind w:left="1735" w:hanging="440"/>
      </w:pPr>
    </w:lvl>
    <w:lvl w:ilvl="5" w:tentative="0">
      <w:start w:val="1"/>
      <w:numFmt w:val="lowerRoman"/>
      <w:lvlText w:val="%6."/>
      <w:lvlJc w:val="right"/>
      <w:pPr>
        <w:ind w:left="2175" w:hanging="440"/>
      </w:pPr>
    </w:lvl>
    <w:lvl w:ilvl="6" w:tentative="0">
      <w:start w:val="1"/>
      <w:numFmt w:val="decimal"/>
      <w:lvlText w:val="%7."/>
      <w:lvlJc w:val="left"/>
      <w:pPr>
        <w:ind w:left="2615" w:hanging="440"/>
      </w:pPr>
    </w:lvl>
    <w:lvl w:ilvl="7" w:tentative="0">
      <w:start w:val="1"/>
      <w:numFmt w:val="lowerLetter"/>
      <w:lvlText w:val="%8)"/>
      <w:lvlJc w:val="left"/>
      <w:pPr>
        <w:ind w:left="3055" w:hanging="440"/>
      </w:pPr>
    </w:lvl>
    <w:lvl w:ilvl="8" w:tentative="0">
      <w:start w:val="1"/>
      <w:numFmt w:val="lowerRoman"/>
      <w:lvlText w:val="%9."/>
      <w:lvlJc w:val="right"/>
      <w:pPr>
        <w:ind w:left="3495" w:hanging="440"/>
      </w:pPr>
    </w:lvl>
  </w:abstractNum>
  <w:abstractNum w:abstractNumId="2">
    <w:nsid w:val="42592516"/>
    <w:multiLevelType w:val="multilevel"/>
    <w:tmpl w:val="42592516"/>
    <w:lvl w:ilvl="0" w:tentative="0">
      <w:start w:val="1"/>
      <w:numFmt w:val="decimal"/>
      <w:pStyle w:val="9"/>
      <w:lvlText w:val="%1."/>
      <w:lvlJc w:val="left"/>
      <w:pPr>
        <w:ind w:left="440" w:hanging="440"/>
      </w:pPr>
      <w:rPr>
        <w:rFonts w:hint="default" w:ascii="Times New Roman" w:hAnsi="Times New Roman" w:cs="Times New Roman"/>
        <w:sz w:val="32"/>
        <w:szCs w:val="32"/>
      </w:rPr>
    </w:lvl>
    <w:lvl w:ilvl="1" w:tentative="0">
      <w:start w:val="1"/>
      <w:numFmt w:val="lowerLetter"/>
      <w:lvlText w:val="%2)"/>
      <w:lvlJc w:val="left"/>
      <w:pPr>
        <w:ind w:left="415" w:hanging="440"/>
      </w:pPr>
    </w:lvl>
    <w:lvl w:ilvl="2" w:tentative="0">
      <w:start w:val="1"/>
      <w:numFmt w:val="lowerRoman"/>
      <w:lvlText w:val="%3."/>
      <w:lvlJc w:val="right"/>
      <w:pPr>
        <w:ind w:left="855" w:hanging="440"/>
      </w:pPr>
    </w:lvl>
    <w:lvl w:ilvl="3" w:tentative="0">
      <w:start w:val="1"/>
      <w:numFmt w:val="decimal"/>
      <w:lvlText w:val="%4."/>
      <w:lvlJc w:val="left"/>
      <w:pPr>
        <w:ind w:left="1295" w:hanging="440"/>
      </w:pPr>
    </w:lvl>
    <w:lvl w:ilvl="4" w:tentative="0">
      <w:start w:val="1"/>
      <w:numFmt w:val="lowerLetter"/>
      <w:lvlText w:val="%5)"/>
      <w:lvlJc w:val="left"/>
      <w:pPr>
        <w:ind w:left="1735" w:hanging="440"/>
      </w:pPr>
    </w:lvl>
    <w:lvl w:ilvl="5" w:tentative="0">
      <w:start w:val="1"/>
      <w:numFmt w:val="lowerRoman"/>
      <w:lvlText w:val="%6."/>
      <w:lvlJc w:val="right"/>
      <w:pPr>
        <w:ind w:left="2175" w:hanging="440"/>
      </w:pPr>
    </w:lvl>
    <w:lvl w:ilvl="6" w:tentative="0">
      <w:start w:val="1"/>
      <w:numFmt w:val="decimal"/>
      <w:lvlText w:val="%7."/>
      <w:lvlJc w:val="left"/>
      <w:pPr>
        <w:ind w:left="2615" w:hanging="440"/>
      </w:pPr>
    </w:lvl>
    <w:lvl w:ilvl="7" w:tentative="0">
      <w:start w:val="1"/>
      <w:numFmt w:val="lowerLetter"/>
      <w:lvlText w:val="%8)"/>
      <w:lvlJc w:val="left"/>
      <w:pPr>
        <w:ind w:left="3055" w:hanging="440"/>
      </w:pPr>
    </w:lvl>
    <w:lvl w:ilvl="8" w:tentative="0">
      <w:start w:val="1"/>
      <w:numFmt w:val="lowerRoman"/>
      <w:lvlText w:val="%9."/>
      <w:lvlJc w:val="right"/>
      <w:pPr>
        <w:ind w:left="3495" w:hanging="440"/>
      </w:pPr>
    </w:lvl>
  </w:abstractNum>
  <w:abstractNum w:abstractNumId="3">
    <w:nsid w:val="72C8311C"/>
    <w:multiLevelType w:val="multilevel"/>
    <w:tmpl w:val="72C8311C"/>
    <w:lvl w:ilvl="0" w:tentative="0">
      <w:start w:val="1"/>
      <w:numFmt w:val="chineseCountingThousand"/>
      <w:pStyle w:val="6"/>
      <w:lvlText w:val="第%1条"/>
      <w:lvlJc w:val="left"/>
      <w:pPr>
        <w:ind w:left="360" w:hanging="360"/>
      </w:pPr>
      <w:rPr>
        <w:rFonts w:hint="eastAsia" w:ascii="仿宋_GB2312" w:eastAsia="仿宋_GB2312"/>
        <w:b/>
        <w:sz w:val="32"/>
        <w:szCs w:val="32"/>
        <w:lang w:val="en-IE"/>
      </w:rPr>
    </w:lvl>
    <w:lvl w:ilvl="1" w:tentative="0">
      <w:start w:val="1"/>
      <w:numFmt w:val="lowerLetter"/>
      <w:lvlText w:val="%2."/>
      <w:lvlJc w:val="left"/>
      <w:pPr>
        <w:ind w:left="3708" w:hanging="360"/>
      </w:pPr>
    </w:lvl>
    <w:lvl w:ilvl="2" w:tentative="0">
      <w:start w:val="1"/>
      <w:numFmt w:val="lowerRoman"/>
      <w:lvlText w:val="%3."/>
      <w:lvlJc w:val="right"/>
      <w:pPr>
        <w:ind w:left="4428" w:hanging="180"/>
      </w:pPr>
    </w:lvl>
    <w:lvl w:ilvl="3" w:tentative="0">
      <w:start w:val="1"/>
      <w:numFmt w:val="decimal"/>
      <w:lvlText w:val="%4."/>
      <w:lvlJc w:val="left"/>
      <w:pPr>
        <w:ind w:left="5148" w:hanging="360"/>
      </w:pPr>
    </w:lvl>
    <w:lvl w:ilvl="4" w:tentative="0">
      <w:start w:val="1"/>
      <w:numFmt w:val="lowerLetter"/>
      <w:lvlText w:val="%5."/>
      <w:lvlJc w:val="left"/>
      <w:pPr>
        <w:ind w:left="5868" w:hanging="360"/>
      </w:pPr>
    </w:lvl>
    <w:lvl w:ilvl="5" w:tentative="0">
      <w:start w:val="1"/>
      <w:numFmt w:val="lowerRoman"/>
      <w:lvlText w:val="%6."/>
      <w:lvlJc w:val="right"/>
      <w:pPr>
        <w:ind w:left="6588" w:hanging="180"/>
      </w:pPr>
    </w:lvl>
    <w:lvl w:ilvl="6" w:tentative="0">
      <w:start w:val="1"/>
      <w:numFmt w:val="decimal"/>
      <w:lvlText w:val="%7."/>
      <w:lvlJc w:val="left"/>
      <w:pPr>
        <w:ind w:left="7308" w:hanging="360"/>
      </w:pPr>
    </w:lvl>
    <w:lvl w:ilvl="7" w:tentative="0">
      <w:start w:val="1"/>
      <w:numFmt w:val="lowerLetter"/>
      <w:lvlText w:val="%8."/>
      <w:lvlJc w:val="left"/>
      <w:pPr>
        <w:ind w:left="8028" w:hanging="360"/>
      </w:pPr>
    </w:lvl>
    <w:lvl w:ilvl="8" w:tentative="0">
      <w:start w:val="1"/>
      <w:numFmt w:val="lowerRoman"/>
      <w:lvlText w:val="%9."/>
      <w:lvlJc w:val="right"/>
      <w:pPr>
        <w:ind w:left="874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documentProtection w:enforcement="0"/>
  <w:defaultTabStop w:val="420"/>
  <w:hyphenationZone w:val="360"/>
  <w:evenAndOddHeaders w:val="true"/>
  <w:drawingGridHorizontalSpacing w:val="160"/>
  <w:drawingGridVerticalSpacing w:val="435"/>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4YWZhMmIwZWU5NGNjZWRkZDUzOWE2MzBjN2Y0MTgifQ=="/>
  </w:docVars>
  <w:rsids>
    <w:rsidRoot w:val="008E6528"/>
    <w:rsid w:val="0000755C"/>
    <w:rsid w:val="00011B13"/>
    <w:rsid w:val="00034FC7"/>
    <w:rsid w:val="000410E1"/>
    <w:rsid w:val="00046C19"/>
    <w:rsid w:val="000516EA"/>
    <w:rsid w:val="00060E93"/>
    <w:rsid w:val="00061324"/>
    <w:rsid w:val="00083DE5"/>
    <w:rsid w:val="00092B53"/>
    <w:rsid w:val="000B180D"/>
    <w:rsid w:val="000B4763"/>
    <w:rsid w:val="00101EC3"/>
    <w:rsid w:val="00103D87"/>
    <w:rsid w:val="00136BB7"/>
    <w:rsid w:val="00160715"/>
    <w:rsid w:val="00167B57"/>
    <w:rsid w:val="001A1F0F"/>
    <w:rsid w:val="001A64C4"/>
    <w:rsid w:val="002176E3"/>
    <w:rsid w:val="00236104"/>
    <w:rsid w:val="00256EEE"/>
    <w:rsid w:val="00287D26"/>
    <w:rsid w:val="002939A0"/>
    <w:rsid w:val="00295826"/>
    <w:rsid w:val="002965B7"/>
    <w:rsid w:val="00296F91"/>
    <w:rsid w:val="002A5402"/>
    <w:rsid w:val="002C7FED"/>
    <w:rsid w:val="002D2CE1"/>
    <w:rsid w:val="002E1254"/>
    <w:rsid w:val="002E1924"/>
    <w:rsid w:val="002E3DDB"/>
    <w:rsid w:val="002E574B"/>
    <w:rsid w:val="0030786C"/>
    <w:rsid w:val="003237C8"/>
    <w:rsid w:val="0033578F"/>
    <w:rsid w:val="003359E4"/>
    <w:rsid w:val="003431D4"/>
    <w:rsid w:val="00344766"/>
    <w:rsid w:val="00351D27"/>
    <w:rsid w:val="00367DE5"/>
    <w:rsid w:val="00384960"/>
    <w:rsid w:val="003907BA"/>
    <w:rsid w:val="003914A3"/>
    <w:rsid w:val="003A74E8"/>
    <w:rsid w:val="003C4DF6"/>
    <w:rsid w:val="003F0AB4"/>
    <w:rsid w:val="003F7DB4"/>
    <w:rsid w:val="00411276"/>
    <w:rsid w:val="004504B0"/>
    <w:rsid w:val="00463C90"/>
    <w:rsid w:val="00473CDB"/>
    <w:rsid w:val="0047430C"/>
    <w:rsid w:val="004A18CA"/>
    <w:rsid w:val="004B733C"/>
    <w:rsid w:val="00502782"/>
    <w:rsid w:val="00520FE3"/>
    <w:rsid w:val="00522929"/>
    <w:rsid w:val="005309F5"/>
    <w:rsid w:val="00545456"/>
    <w:rsid w:val="00553554"/>
    <w:rsid w:val="00564A4A"/>
    <w:rsid w:val="00575661"/>
    <w:rsid w:val="00580115"/>
    <w:rsid w:val="005870AA"/>
    <w:rsid w:val="005B5F12"/>
    <w:rsid w:val="005C6996"/>
    <w:rsid w:val="005C7233"/>
    <w:rsid w:val="005E1973"/>
    <w:rsid w:val="005E1D88"/>
    <w:rsid w:val="00605BB4"/>
    <w:rsid w:val="006116EC"/>
    <w:rsid w:val="0062022E"/>
    <w:rsid w:val="00630E8D"/>
    <w:rsid w:val="00634F34"/>
    <w:rsid w:val="006A3D25"/>
    <w:rsid w:val="006D2D9F"/>
    <w:rsid w:val="006F295F"/>
    <w:rsid w:val="0070753D"/>
    <w:rsid w:val="007077CF"/>
    <w:rsid w:val="00714330"/>
    <w:rsid w:val="00715F79"/>
    <w:rsid w:val="00725C47"/>
    <w:rsid w:val="00746B3D"/>
    <w:rsid w:val="00786E8F"/>
    <w:rsid w:val="007B29D6"/>
    <w:rsid w:val="007B56DE"/>
    <w:rsid w:val="007C1838"/>
    <w:rsid w:val="007E1B83"/>
    <w:rsid w:val="00801D5C"/>
    <w:rsid w:val="00805673"/>
    <w:rsid w:val="008132CA"/>
    <w:rsid w:val="00846A78"/>
    <w:rsid w:val="00853F22"/>
    <w:rsid w:val="0087519F"/>
    <w:rsid w:val="0087735E"/>
    <w:rsid w:val="008A0C5B"/>
    <w:rsid w:val="008A2DD2"/>
    <w:rsid w:val="008B1AA8"/>
    <w:rsid w:val="008B2FAE"/>
    <w:rsid w:val="008C15BF"/>
    <w:rsid w:val="008C45CA"/>
    <w:rsid w:val="008D6645"/>
    <w:rsid w:val="008E6528"/>
    <w:rsid w:val="008F1C71"/>
    <w:rsid w:val="009022DD"/>
    <w:rsid w:val="00906FFE"/>
    <w:rsid w:val="00923A2B"/>
    <w:rsid w:val="00946933"/>
    <w:rsid w:val="00953630"/>
    <w:rsid w:val="00966F39"/>
    <w:rsid w:val="00967EB3"/>
    <w:rsid w:val="00991ADF"/>
    <w:rsid w:val="009A3129"/>
    <w:rsid w:val="009B2F64"/>
    <w:rsid w:val="00A11AF3"/>
    <w:rsid w:val="00A22350"/>
    <w:rsid w:val="00A61C0B"/>
    <w:rsid w:val="00A63BBC"/>
    <w:rsid w:val="00A7706E"/>
    <w:rsid w:val="00AA385C"/>
    <w:rsid w:val="00AC2B77"/>
    <w:rsid w:val="00AD6F5A"/>
    <w:rsid w:val="00AF25F3"/>
    <w:rsid w:val="00B1097C"/>
    <w:rsid w:val="00B132F9"/>
    <w:rsid w:val="00B14140"/>
    <w:rsid w:val="00B17A53"/>
    <w:rsid w:val="00B21FC9"/>
    <w:rsid w:val="00B33DE0"/>
    <w:rsid w:val="00B56171"/>
    <w:rsid w:val="00B60C5E"/>
    <w:rsid w:val="00B74BBA"/>
    <w:rsid w:val="00B9604B"/>
    <w:rsid w:val="00BA1C0C"/>
    <w:rsid w:val="00C068D8"/>
    <w:rsid w:val="00C63387"/>
    <w:rsid w:val="00C712DC"/>
    <w:rsid w:val="00C852DD"/>
    <w:rsid w:val="00C91174"/>
    <w:rsid w:val="00CA5F05"/>
    <w:rsid w:val="00CC7E40"/>
    <w:rsid w:val="00CD2DEF"/>
    <w:rsid w:val="00CE0AA2"/>
    <w:rsid w:val="00CE2893"/>
    <w:rsid w:val="00CE465B"/>
    <w:rsid w:val="00D04635"/>
    <w:rsid w:val="00D12FA8"/>
    <w:rsid w:val="00D235DB"/>
    <w:rsid w:val="00D23D92"/>
    <w:rsid w:val="00D41119"/>
    <w:rsid w:val="00D77702"/>
    <w:rsid w:val="00D91826"/>
    <w:rsid w:val="00DA0148"/>
    <w:rsid w:val="00DB5B23"/>
    <w:rsid w:val="00DD1A1F"/>
    <w:rsid w:val="00DD391E"/>
    <w:rsid w:val="00E4176F"/>
    <w:rsid w:val="00E95B5F"/>
    <w:rsid w:val="00ED003F"/>
    <w:rsid w:val="00EF7BCD"/>
    <w:rsid w:val="00F51100"/>
    <w:rsid w:val="00F51206"/>
    <w:rsid w:val="00F51A00"/>
    <w:rsid w:val="00F51B5E"/>
    <w:rsid w:val="00F65983"/>
    <w:rsid w:val="00F6700E"/>
    <w:rsid w:val="00F930AE"/>
    <w:rsid w:val="00F93D80"/>
    <w:rsid w:val="00F965D5"/>
    <w:rsid w:val="00FA6066"/>
    <w:rsid w:val="00FA62B0"/>
    <w:rsid w:val="00FD3B36"/>
    <w:rsid w:val="018B4F75"/>
    <w:rsid w:val="0192652E"/>
    <w:rsid w:val="01A73D87"/>
    <w:rsid w:val="01C725F7"/>
    <w:rsid w:val="01D31020"/>
    <w:rsid w:val="01D60B10"/>
    <w:rsid w:val="025B2DC4"/>
    <w:rsid w:val="028247F4"/>
    <w:rsid w:val="03015719"/>
    <w:rsid w:val="031273D2"/>
    <w:rsid w:val="034D095E"/>
    <w:rsid w:val="03870314"/>
    <w:rsid w:val="03936CB9"/>
    <w:rsid w:val="03FD05D6"/>
    <w:rsid w:val="040B01C4"/>
    <w:rsid w:val="041A22CB"/>
    <w:rsid w:val="048C54B6"/>
    <w:rsid w:val="04A22F2C"/>
    <w:rsid w:val="05114226"/>
    <w:rsid w:val="0555686E"/>
    <w:rsid w:val="05880374"/>
    <w:rsid w:val="05A54A82"/>
    <w:rsid w:val="05B133C3"/>
    <w:rsid w:val="060C2D53"/>
    <w:rsid w:val="06141C07"/>
    <w:rsid w:val="06314567"/>
    <w:rsid w:val="064F430A"/>
    <w:rsid w:val="0708176C"/>
    <w:rsid w:val="077010BF"/>
    <w:rsid w:val="08006357"/>
    <w:rsid w:val="086C5D2B"/>
    <w:rsid w:val="09136E47"/>
    <w:rsid w:val="09A11A04"/>
    <w:rsid w:val="09A17C56"/>
    <w:rsid w:val="09F064B2"/>
    <w:rsid w:val="0A004B13"/>
    <w:rsid w:val="0A0A1357"/>
    <w:rsid w:val="0A2F5262"/>
    <w:rsid w:val="0A690774"/>
    <w:rsid w:val="0AAC240E"/>
    <w:rsid w:val="0B98044B"/>
    <w:rsid w:val="0BCE7613"/>
    <w:rsid w:val="0BDC3096"/>
    <w:rsid w:val="0C1110C3"/>
    <w:rsid w:val="0C4F74F5"/>
    <w:rsid w:val="0C656D19"/>
    <w:rsid w:val="0C8E44C1"/>
    <w:rsid w:val="0CE02843"/>
    <w:rsid w:val="0D293FF8"/>
    <w:rsid w:val="0D48607B"/>
    <w:rsid w:val="0D8837E5"/>
    <w:rsid w:val="0DA43871"/>
    <w:rsid w:val="0DF608D2"/>
    <w:rsid w:val="0E3C7F4D"/>
    <w:rsid w:val="0E9B2EC6"/>
    <w:rsid w:val="0EB53520"/>
    <w:rsid w:val="0F227143"/>
    <w:rsid w:val="0F426F80"/>
    <w:rsid w:val="0F753717"/>
    <w:rsid w:val="0FC85F3C"/>
    <w:rsid w:val="0FEA496F"/>
    <w:rsid w:val="0FF7237E"/>
    <w:rsid w:val="10FB32FF"/>
    <w:rsid w:val="111B11A3"/>
    <w:rsid w:val="117877E3"/>
    <w:rsid w:val="11EB4164"/>
    <w:rsid w:val="120E7E53"/>
    <w:rsid w:val="12655E1E"/>
    <w:rsid w:val="129810EB"/>
    <w:rsid w:val="13143247"/>
    <w:rsid w:val="13166FBF"/>
    <w:rsid w:val="13525B1D"/>
    <w:rsid w:val="1393060F"/>
    <w:rsid w:val="13936861"/>
    <w:rsid w:val="13E96481"/>
    <w:rsid w:val="13F35552"/>
    <w:rsid w:val="140B289C"/>
    <w:rsid w:val="144E09DA"/>
    <w:rsid w:val="14A423A8"/>
    <w:rsid w:val="15875F52"/>
    <w:rsid w:val="15B605A3"/>
    <w:rsid w:val="15E16DE2"/>
    <w:rsid w:val="15F15AC1"/>
    <w:rsid w:val="162A4C50"/>
    <w:rsid w:val="16897AA8"/>
    <w:rsid w:val="16907088"/>
    <w:rsid w:val="16E949A3"/>
    <w:rsid w:val="17555BDC"/>
    <w:rsid w:val="175616EA"/>
    <w:rsid w:val="175A163A"/>
    <w:rsid w:val="17854D53"/>
    <w:rsid w:val="17B15508"/>
    <w:rsid w:val="18153CE9"/>
    <w:rsid w:val="18787DD4"/>
    <w:rsid w:val="18BD7EDC"/>
    <w:rsid w:val="18E26F66"/>
    <w:rsid w:val="19324427"/>
    <w:rsid w:val="193463F1"/>
    <w:rsid w:val="196D1903"/>
    <w:rsid w:val="19F45B80"/>
    <w:rsid w:val="1AC90EF3"/>
    <w:rsid w:val="1B177D78"/>
    <w:rsid w:val="1B222279"/>
    <w:rsid w:val="1B4A1EFB"/>
    <w:rsid w:val="1B4B17D0"/>
    <w:rsid w:val="1BDE2644"/>
    <w:rsid w:val="1BFB4FA4"/>
    <w:rsid w:val="1C1147C7"/>
    <w:rsid w:val="1C177AE5"/>
    <w:rsid w:val="1C625023"/>
    <w:rsid w:val="1C705992"/>
    <w:rsid w:val="1C760ACE"/>
    <w:rsid w:val="1CE912A0"/>
    <w:rsid w:val="1D772D50"/>
    <w:rsid w:val="1D7F145C"/>
    <w:rsid w:val="1DAD5A2A"/>
    <w:rsid w:val="1DAF6046"/>
    <w:rsid w:val="1DB60071"/>
    <w:rsid w:val="1DE94F82"/>
    <w:rsid w:val="1DF90E7A"/>
    <w:rsid w:val="1DF919B7"/>
    <w:rsid w:val="1E154A8B"/>
    <w:rsid w:val="1E2B391A"/>
    <w:rsid w:val="1E85324A"/>
    <w:rsid w:val="1ED146E2"/>
    <w:rsid w:val="1EDC0404"/>
    <w:rsid w:val="1F9C6A9E"/>
    <w:rsid w:val="1FFF4898"/>
    <w:rsid w:val="200831DC"/>
    <w:rsid w:val="201E6FC3"/>
    <w:rsid w:val="20735A50"/>
    <w:rsid w:val="20AE4CDA"/>
    <w:rsid w:val="20E67BBE"/>
    <w:rsid w:val="219F3832"/>
    <w:rsid w:val="21B93937"/>
    <w:rsid w:val="21D06ED2"/>
    <w:rsid w:val="21D56297"/>
    <w:rsid w:val="21EF7359"/>
    <w:rsid w:val="22146DBF"/>
    <w:rsid w:val="226662AA"/>
    <w:rsid w:val="22CC58EC"/>
    <w:rsid w:val="23005595"/>
    <w:rsid w:val="231F5A1C"/>
    <w:rsid w:val="234E59B2"/>
    <w:rsid w:val="23963804"/>
    <w:rsid w:val="23EB7FF4"/>
    <w:rsid w:val="23FE3883"/>
    <w:rsid w:val="23FF1005"/>
    <w:rsid w:val="243B5DAD"/>
    <w:rsid w:val="24535D9D"/>
    <w:rsid w:val="2471674B"/>
    <w:rsid w:val="248B544A"/>
    <w:rsid w:val="24A415E4"/>
    <w:rsid w:val="24B276B5"/>
    <w:rsid w:val="24C83E91"/>
    <w:rsid w:val="25675458"/>
    <w:rsid w:val="257162D7"/>
    <w:rsid w:val="25777D91"/>
    <w:rsid w:val="25853B30"/>
    <w:rsid w:val="25EB7E37"/>
    <w:rsid w:val="265754CC"/>
    <w:rsid w:val="26AD1590"/>
    <w:rsid w:val="26E72CF4"/>
    <w:rsid w:val="271D6716"/>
    <w:rsid w:val="276670F2"/>
    <w:rsid w:val="27BA5D13"/>
    <w:rsid w:val="27C941A8"/>
    <w:rsid w:val="27E94829"/>
    <w:rsid w:val="27EB2370"/>
    <w:rsid w:val="28537F15"/>
    <w:rsid w:val="28B22E8E"/>
    <w:rsid w:val="28D64DCE"/>
    <w:rsid w:val="294C22A1"/>
    <w:rsid w:val="29AA1DB7"/>
    <w:rsid w:val="29D56F2D"/>
    <w:rsid w:val="2A7423E6"/>
    <w:rsid w:val="2B155902"/>
    <w:rsid w:val="2B9351F9"/>
    <w:rsid w:val="2BB15421"/>
    <w:rsid w:val="2BC628A0"/>
    <w:rsid w:val="2BFD6B16"/>
    <w:rsid w:val="2C0E2AD1"/>
    <w:rsid w:val="2C1C51EE"/>
    <w:rsid w:val="2C432E7E"/>
    <w:rsid w:val="2C5D75B5"/>
    <w:rsid w:val="2CA156F3"/>
    <w:rsid w:val="2CC15D95"/>
    <w:rsid w:val="2CCB3C0E"/>
    <w:rsid w:val="2CDE24A4"/>
    <w:rsid w:val="2E19750B"/>
    <w:rsid w:val="2E5121F0"/>
    <w:rsid w:val="2E900A99"/>
    <w:rsid w:val="2EB85CAC"/>
    <w:rsid w:val="2F171C9D"/>
    <w:rsid w:val="2F5825E5"/>
    <w:rsid w:val="30063D65"/>
    <w:rsid w:val="30AD0B0B"/>
    <w:rsid w:val="30C714A1"/>
    <w:rsid w:val="30E87D95"/>
    <w:rsid w:val="31210BB1"/>
    <w:rsid w:val="32087FC3"/>
    <w:rsid w:val="322F72FD"/>
    <w:rsid w:val="326E42CA"/>
    <w:rsid w:val="329B4993"/>
    <w:rsid w:val="33284C49"/>
    <w:rsid w:val="33294694"/>
    <w:rsid w:val="334D2131"/>
    <w:rsid w:val="33CB7921"/>
    <w:rsid w:val="33D55068"/>
    <w:rsid w:val="342858C4"/>
    <w:rsid w:val="34784F8C"/>
    <w:rsid w:val="350C7DCA"/>
    <w:rsid w:val="352D4FC3"/>
    <w:rsid w:val="353C245D"/>
    <w:rsid w:val="355A6D87"/>
    <w:rsid w:val="358D0710"/>
    <w:rsid w:val="359027A9"/>
    <w:rsid w:val="35A83952"/>
    <w:rsid w:val="35B535D9"/>
    <w:rsid w:val="35C506A4"/>
    <w:rsid w:val="36203B2D"/>
    <w:rsid w:val="36C24BE4"/>
    <w:rsid w:val="36CE17DB"/>
    <w:rsid w:val="36EB6463"/>
    <w:rsid w:val="37DF17C6"/>
    <w:rsid w:val="38077644"/>
    <w:rsid w:val="38207E14"/>
    <w:rsid w:val="382947EF"/>
    <w:rsid w:val="387B329C"/>
    <w:rsid w:val="389167F0"/>
    <w:rsid w:val="392C6D82"/>
    <w:rsid w:val="394E275F"/>
    <w:rsid w:val="39761CB6"/>
    <w:rsid w:val="39A700C1"/>
    <w:rsid w:val="39C8711A"/>
    <w:rsid w:val="39F07CBA"/>
    <w:rsid w:val="3A95616C"/>
    <w:rsid w:val="3ABD6F51"/>
    <w:rsid w:val="3AC0143A"/>
    <w:rsid w:val="3B6049CB"/>
    <w:rsid w:val="3BF176A1"/>
    <w:rsid w:val="3C0161AE"/>
    <w:rsid w:val="3C0D6E7A"/>
    <w:rsid w:val="3C177780"/>
    <w:rsid w:val="3C6E4EC6"/>
    <w:rsid w:val="3C97266F"/>
    <w:rsid w:val="3D9A41C5"/>
    <w:rsid w:val="3D9D3CB5"/>
    <w:rsid w:val="3EB2553E"/>
    <w:rsid w:val="3EDE27D7"/>
    <w:rsid w:val="3F125FDD"/>
    <w:rsid w:val="3F1360BC"/>
    <w:rsid w:val="3F7B342E"/>
    <w:rsid w:val="3F9410E8"/>
    <w:rsid w:val="3FB84DD6"/>
    <w:rsid w:val="4029552E"/>
    <w:rsid w:val="407E7DCE"/>
    <w:rsid w:val="40B90E06"/>
    <w:rsid w:val="40F736DC"/>
    <w:rsid w:val="41105967"/>
    <w:rsid w:val="41167407"/>
    <w:rsid w:val="41597B41"/>
    <w:rsid w:val="415B1EBD"/>
    <w:rsid w:val="419E7FFC"/>
    <w:rsid w:val="41B82E6B"/>
    <w:rsid w:val="42061A59"/>
    <w:rsid w:val="423D5A66"/>
    <w:rsid w:val="42625A84"/>
    <w:rsid w:val="42825BCB"/>
    <w:rsid w:val="4292190E"/>
    <w:rsid w:val="43212C92"/>
    <w:rsid w:val="433A4FFB"/>
    <w:rsid w:val="435B43F6"/>
    <w:rsid w:val="438020AF"/>
    <w:rsid w:val="43B92ECB"/>
    <w:rsid w:val="43CD7A4D"/>
    <w:rsid w:val="440E76BA"/>
    <w:rsid w:val="44C02694"/>
    <w:rsid w:val="455D70B3"/>
    <w:rsid w:val="459564E6"/>
    <w:rsid w:val="459C2AA4"/>
    <w:rsid w:val="45F428E0"/>
    <w:rsid w:val="46072613"/>
    <w:rsid w:val="460A09F6"/>
    <w:rsid w:val="46250CEB"/>
    <w:rsid w:val="46340F2E"/>
    <w:rsid w:val="465515D1"/>
    <w:rsid w:val="466C2476"/>
    <w:rsid w:val="468C64C8"/>
    <w:rsid w:val="46B77C18"/>
    <w:rsid w:val="46EE10DD"/>
    <w:rsid w:val="46F96E49"/>
    <w:rsid w:val="4732546E"/>
    <w:rsid w:val="48686106"/>
    <w:rsid w:val="488C6E00"/>
    <w:rsid w:val="48A405ED"/>
    <w:rsid w:val="49352A92"/>
    <w:rsid w:val="49D85A26"/>
    <w:rsid w:val="4A111CB3"/>
    <w:rsid w:val="4A2C10AA"/>
    <w:rsid w:val="4AB443EC"/>
    <w:rsid w:val="4AC5484B"/>
    <w:rsid w:val="4B052E99"/>
    <w:rsid w:val="4B0C5FD6"/>
    <w:rsid w:val="4B7A342E"/>
    <w:rsid w:val="4BA44460"/>
    <w:rsid w:val="4BF47196"/>
    <w:rsid w:val="4C6C6A83"/>
    <w:rsid w:val="4CF60CEC"/>
    <w:rsid w:val="4CFE5DF2"/>
    <w:rsid w:val="4D096C71"/>
    <w:rsid w:val="4D573E80"/>
    <w:rsid w:val="4D695962"/>
    <w:rsid w:val="4DA13EB0"/>
    <w:rsid w:val="4DD54DA5"/>
    <w:rsid w:val="4F0469A4"/>
    <w:rsid w:val="501716A5"/>
    <w:rsid w:val="505446A7"/>
    <w:rsid w:val="505463A5"/>
    <w:rsid w:val="507B60D8"/>
    <w:rsid w:val="51D11D27"/>
    <w:rsid w:val="51D81BF1"/>
    <w:rsid w:val="51FE5F02"/>
    <w:rsid w:val="523E73BD"/>
    <w:rsid w:val="52466271"/>
    <w:rsid w:val="52CA29FF"/>
    <w:rsid w:val="53083527"/>
    <w:rsid w:val="5334495E"/>
    <w:rsid w:val="53966B08"/>
    <w:rsid w:val="54040192"/>
    <w:rsid w:val="54AB7A0C"/>
    <w:rsid w:val="54AE00FE"/>
    <w:rsid w:val="54B73F26"/>
    <w:rsid w:val="54F41FB5"/>
    <w:rsid w:val="54FE72D7"/>
    <w:rsid w:val="55A75279"/>
    <w:rsid w:val="55EB160A"/>
    <w:rsid w:val="56703650"/>
    <w:rsid w:val="567F99D3"/>
    <w:rsid w:val="56BF4844"/>
    <w:rsid w:val="56DF6C95"/>
    <w:rsid w:val="56EB5639"/>
    <w:rsid w:val="571702AF"/>
    <w:rsid w:val="5737087F"/>
    <w:rsid w:val="57572CCF"/>
    <w:rsid w:val="57582859"/>
    <w:rsid w:val="57A23F4A"/>
    <w:rsid w:val="57D91936"/>
    <w:rsid w:val="58F23998"/>
    <w:rsid w:val="5900361E"/>
    <w:rsid w:val="590E560F"/>
    <w:rsid w:val="591F781C"/>
    <w:rsid w:val="593212FE"/>
    <w:rsid w:val="597B2CA5"/>
    <w:rsid w:val="59C75EEA"/>
    <w:rsid w:val="59E20F76"/>
    <w:rsid w:val="59EA607C"/>
    <w:rsid w:val="59F667CF"/>
    <w:rsid w:val="5A0031AA"/>
    <w:rsid w:val="5A1D5B0A"/>
    <w:rsid w:val="5A5A4FB0"/>
    <w:rsid w:val="5AA21673"/>
    <w:rsid w:val="5B046CCA"/>
    <w:rsid w:val="5B465534"/>
    <w:rsid w:val="5B490B80"/>
    <w:rsid w:val="5B547C51"/>
    <w:rsid w:val="5B661732"/>
    <w:rsid w:val="5BA504AD"/>
    <w:rsid w:val="5C8B5B86"/>
    <w:rsid w:val="5D1A27D4"/>
    <w:rsid w:val="5D6323CD"/>
    <w:rsid w:val="5D8440F2"/>
    <w:rsid w:val="5D8977E8"/>
    <w:rsid w:val="5D8F31C2"/>
    <w:rsid w:val="5DF81DDE"/>
    <w:rsid w:val="5E7A5C21"/>
    <w:rsid w:val="5E820631"/>
    <w:rsid w:val="5E9860A7"/>
    <w:rsid w:val="5ECC3FA2"/>
    <w:rsid w:val="5F183354"/>
    <w:rsid w:val="5F6E0BB6"/>
    <w:rsid w:val="5F8328B3"/>
    <w:rsid w:val="5FB76A00"/>
    <w:rsid w:val="60A56859"/>
    <w:rsid w:val="60B97D8F"/>
    <w:rsid w:val="60D94755"/>
    <w:rsid w:val="614442C4"/>
    <w:rsid w:val="614C4F26"/>
    <w:rsid w:val="61565DA5"/>
    <w:rsid w:val="61665FE8"/>
    <w:rsid w:val="61B431F8"/>
    <w:rsid w:val="61DF5D9B"/>
    <w:rsid w:val="61EE14F2"/>
    <w:rsid w:val="620500A2"/>
    <w:rsid w:val="62C3746A"/>
    <w:rsid w:val="62C84A81"/>
    <w:rsid w:val="62F2209A"/>
    <w:rsid w:val="632C0E07"/>
    <w:rsid w:val="63847915"/>
    <w:rsid w:val="63D964A6"/>
    <w:rsid w:val="641B7899"/>
    <w:rsid w:val="64F102BF"/>
    <w:rsid w:val="650545D5"/>
    <w:rsid w:val="65295CAB"/>
    <w:rsid w:val="652E506F"/>
    <w:rsid w:val="654F790E"/>
    <w:rsid w:val="65670581"/>
    <w:rsid w:val="65A73073"/>
    <w:rsid w:val="65CE23AE"/>
    <w:rsid w:val="65F55B8D"/>
    <w:rsid w:val="66140709"/>
    <w:rsid w:val="662F72F1"/>
    <w:rsid w:val="66636F9A"/>
    <w:rsid w:val="66D47E98"/>
    <w:rsid w:val="66E04A8F"/>
    <w:rsid w:val="66F818AE"/>
    <w:rsid w:val="66FE3167"/>
    <w:rsid w:val="67A55390"/>
    <w:rsid w:val="67B101D9"/>
    <w:rsid w:val="67CB129B"/>
    <w:rsid w:val="68000819"/>
    <w:rsid w:val="682B7A3B"/>
    <w:rsid w:val="68350126"/>
    <w:rsid w:val="688D47A2"/>
    <w:rsid w:val="69EC3316"/>
    <w:rsid w:val="6A426CC9"/>
    <w:rsid w:val="6AD93CCF"/>
    <w:rsid w:val="6B405AFC"/>
    <w:rsid w:val="6B56531F"/>
    <w:rsid w:val="6BE50451"/>
    <w:rsid w:val="6C133210"/>
    <w:rsid w:val="6C866E49"/>
    <w:rsid w:val="6C9A123C"/>
    <w:rsid w:val="6CCA7D73"/>
    <w:rsid w:val="6D396CA7"/>
    <w:rsid w:val="6D4A2C62"/>
    <w:rsid w:val="6D567859"/>
    <w:rsid w:val="6D807B87"/>
    <w:rsid w:val="6D8F2D6B"/>
    <w:rsid w:val="6E054DDB"/>
    <w:rsid w:val="6E250FD9"/>
    <w:rsid w:val="6E3264D1"/>
    <w:rsid w:val="6EC802E2"/>
    <w:rsid w:val="6F27734B"/>
    <w:rsid w:val="6F3040D9"/>
    <w:rsid w:val="6F651FD5"/>
    <w:rsid w:val="6F975F07"/>
    <w:rsid w:val="704020FA"/>
    <w:rsid w:val="70700C31"/>
    <w:rsid w:val="70741DA4"/>
    <w:rsid w:val="70927820"/>
    <w:rsid w:val="709D754D"/>
    <w:rsid w:val="70B044EA"/>
    <w:rsid w:val="70C94DEE"/>
    <w:rsid w:val="70D429B5"/>
    <w:rsid w:val="71AB7532"/>
    <w:rsid w:val="71BB412E"/>
    <w:rsid w:val="71E511AB"/>
    <w:rsid w:val="71F413EE"/>
    <w:rsid w:val="72514A93"/>
    <w:rsid w:val="72D354A8"/>
    <w:rsid w:val="72D74F98"/>
    <w:rsid w:val="732E0930"/>
    <w:rsid w:val="734F0FD2"/>
    <w:rsid w:val="741D2E7E"/>
    <w:rsid w:val="74341F76"/>
    <w:rsid w:val="74736F42"/>
    <w:rsid w:val="748924FF"/>
    <w:rsid w:val="74B60BDD"/>
    <w:rsid w:val="74BC4A53"/>
    <w:rsid w:val="74FB2A94"/>
    <w:rsid w:val="7530098F"/>
    <w:rsid w:val="75491A51"/>
    <w:rsid w:val="7575281D"/>
    <w:rsid w:val="75970A0E"/>
    <w:rsid w:val="75AF3FAA"/>
    <w:rsid w:val="75F75C0E"/>
    <w:rsid w:val="76233386"/>
    <w:rsid w:val="762878B8"/>
    <w:rsid w:val="762B73A9"/>
    <w:rsid w:val="76852DCA"/>
    <w:rsid w:val="76FE0619"/>
    <w:rsid w:val="772F7461"/>
    <w:rsid w:val="77B77146"/>
    <w:rsid w:val="7803238B"/>
    <w:rsid w:val="780764A7"/>
    <w:rsid w:val="784D2E7F"/>
    <w:rsid w:val="78653EBF"/>
    <w:rsid w:val="78FB3062"/>
    <w:rsid w:val="79482AF6"/>
    <w:rsid w:val="79517126"/>
    <w:rsid w:val="7A2605B3"/>
    <w:rsid w:val="7A401675"/>
    <w:rsid w:val="7A6F3D08"/>
    <w:rsid w:val="7AB61937"/>
    <w:rsid w:val="7AFF16D8"/>
    <w:rsid w:val="7B8B2DC3"/>
    <w:rsid w:val="7BD2043B"/>
    <w:rsid w:val="7BFF4E07"/>
    <w:rsid w:val="7C5A24B8"/>
    <w:rsid w:val="7CE502B1"/>
    <w:rsid w:val="7DDD367E"/>
    <w:rsid w:val="7DDD71DA"/>
    <w:rsid w:val="7DE0DF3E"/>
    <w:rsid w:val="7E3C03A5"/>
    <w:rsid w:val="7EC14D4E"/>
    <w:rsid w:val="7EE12CFA"/>
    <w:rsid w:val="7EF70770"/>
    <w:rsid w:val="7EF90044"/>
    <w:rsid w:val="7F0A04A3"/>
    <w:rsid w:val="7FBA778B"/>
    <w:rsid w:val="AD67799E"/>
    <w:rsid w:val="AFFEBDB4"/>
    <w:rsid w:val="BFBFB3E2"/>
    <w:rsid w:val="DDF61205"/>
    <w:rsid w:val="E5FBDAB2"/>
    <w:rsid w:val="EEEB295C"/>
    <w:rsid w:val="EFCB1D8C"/>
    <w:rsid w:val="FF7FB9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pPr>
    <w:rPr>
      <w:rFonts w:ascii="Times New Roman" w:hAnsi="Times New Roman" w:eastAsia="仿宋_GB2312" w:cs="Times New Roman"/>
      <w:kern w:val="2"/>
      <w:sz w:val="32"/>
      <w:szCs w:val="32"/>
      <w:lang w:val="en-US" w:eastAsia="zh-CN" w:bidi="ar-SA"/>
    </w:rPr>
  </w:style>
  <w:style w:type="paragraph" w:styleId="3">
    <w:name w:val="heading 1"/>
    <w:basedOn w:val="4"/>
    <w:next w:val="1"/>
    <w:link w:val="21"/>
    <w:qFormat/>
    <w:uiPriority w:val="9"/>
    <w:pPr>
      <w:outlineLvl w:val="0"/>
    </w:pPr>
    <w:rPr>
      <w:rFonts w:ascii="方正小标宋简体" w:eastAsia="方正小标宋简体"/>
      <w:b w:val="0"/>
      <w:bCs w:val="0"/>
    </w:rPr>
  </w:style>
  <w:style w:type="paragraph" w:styleId="5">
    <w:name w:val="heading 2"/>
    <w:basedOn w:val="6"/>
    <w:next w:val="1"/>
    <w:link w:val="22"/>
    <w:qFormat/>
    <w:uiPriority w:val="9"/>
    <w:pPr>
      <w:spacing w:line="560" w:lineRule="exact"/>
      <w:ind w:firstLine="640" w:firstLineChars="200"/>
      <w:outlineLvl w:val="1"/>
    </w:pPr>
  </w:style>
  <w:style w:type="paragraph" w:styleId="7">
    <w:name w:val="heading 3"/>
    <w:basedOn w:val="8"/>
    <w:next w:val="1"/>
    <w:link w:val="23"/>
    <w:qFormat/>
    <w:uiPriority w:val="9"/>
    <w:pPr>
      <w:numPr>
        <w:ilvl w:val="0"/>
        <w:numId w:val="1"/>
      </w:numPr>
      <w:ind w:firstLine="0" w:firstLineChars="0"/>
      <w:outlineLvl w:val="2"/>
    </w:pPr>
  </w:style>
  <w:style w:type="paragraph" w:styleId="9">
    <w:name w:val="heading 4"/>
    <w:basedOn w:val="7"/>
    <w:next w:val="1"/>
    <w:link w:val="24"/>
    <w:qFormat/>
    <w:uiPriority w:val="9"/>
    <w:pPr>
      <w:numPr>
        <w:numId w:val="2"/>
      </w:numPr>
      <w:ind w:left="0" w:firstLine="442"/>
      <w:outlineLvl w:val="3"/>
    </w:pPr>
  </w:style>
  <w:style w:type="paragraph" w:styleId="10">
    <w:name w:val="heading 5"/>
    <w:basedOn w:val="8"/>
    <w:next w:val="1"/>
    <w:link w:val="25"/>
    <w:qFormat/>
    <w:uiPriority w:val="9"/>
    <w:pPr>
      <w:numPr>
        <w:ilvl w:val="0"/>
        <w:numId w:val="3"/>
      </w:numPr>
      <w:ind w:firstLine="0" w:firstLineChars="0"/>
      <w:outlineLvl w:val="4"/>
    </w:pPr>
    <w:rPr>
      <w:b/>
      <w:bCs/>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200" w:leftChars="200"/>
    </w:pPr>
  </w:style>
  <w:style w:type="paragraph" w:styleId="4">
    <w:name w:val="Title"/>
    <w:basedOn w:val="1"/>
    <w:next w:val="1"/>
    <w:link w:val="20"/>
    <w:qFormat/>
    <w:uiPriority w:val="10"/>
    <w:pPr>
      <w:jc w:val="center"/>
    </w:pPr>
    <w:rPr>
      <w:rFonts w:ascii="宋体" w:hAnsi="宋体" w:eastAsia="宋体"/>
      <w:b/>
      <w:bCs/>
      <w:sz w:val="44"/>
      <w:szCs w:val="44"/>
    </w:rPr>
  </w:style>
  <w:style w:type="paragraph" w:customStyle="1" w:styleId="6">
    <w:name w:val="列出段落"/>
    <w:basedOn w:val="1"/>
    <w:qFormat/>
    <w:uiPriority w:val="0"/>
    <w:pPr>
      <w:widowControl/>
      <w:numPr>
        <w:ilvl w:val="0"/>
        <w:numId w:val="4"/>
      </w:numPr>
      <w:spacing w:after="200" w:line="360" w:lineRule="auto"/>
      <w:ind w:firstLine="0" w:firstLineChars="0"/>
      <w:contextualSpacing/>
    </w:pPr>
    <w:rPr>
      <w:rFonts w:ascii="仿宋_GB2312" w:hAnsi="仿宋"/>
      <w:kern w:val="0"/>
      <w:lang w:val="en-IE"/>
    </w:rPr>
  </w:style>
  <w:style w:type="paragraph" w:styleId="8">
    <w:name w:val="List Paragraph"/>
    <w:basedOn w:val="1"/>
    <w:qFormat/>
    <w:uiPriority w:val="34"/>
    <w:pPr>
      <w:ind w:firstLine="420"/>
    </w:pPr>
  </w:style>
  <w:style w:type="paragraph" w:styleId="11">
    <w:name w:val="annotation text"/>
    <w:basedOn w:val="1"/>
    <w:link w:val="26"/>
    <w:unhideWhenUsed/>
    <w:qFormat/>
    <w:uiPriority w:val="99"/>
  </w:style>
  <w:style w:type="paragraph" w:styleId="12">
    <w:name w:val="footer"/>
    <w:basedOn w:val="1"/>
    <w:link w:val="27"/>
    <w:unhideWhenUsed/>
    <w:qFormat/>
    <w:uiPriority w:val="99"/>
    <w:pPr>
      <w:tabs>
        <w:tab w:val="center" w:pos="4153"/>
        <w:tab w:val="right" w:pos="8306"/>
      </w:tabs>
      <w:snapToGrid w:val="0"/>
      <w:spacing w:line="240" w:lineRule="atLeast"/>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annotation subject"/>
    <w:basedOn w:val="11"/>
    <w:next w:val="11"/>
    <w:link w:val="29"/>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22"/>
    <w:rPr>
      <w:rFonts w:ascii="黑体" w:hAnsi="黑体" w:eastAsia="黑体"/>
    </w:rPr>
  </w:style>
  <w:style w:type="character" w:styleId="19">
    <w:name w:val="annotation reference"/>
    <w:unhideWhenUsed/>
    <w:qFormat/>
    <w:uiPriority w:val="99"/>
    <w:rPr>
      <w:sz w:val="21"/>
      <w:szCs w:val="21"/>
    </w:rPr>
  </w:style>
  <w:style w:type="character" w:customStyle="1" w:styleId="20">
    <w:name w:val="标题 字符"/>
    <w:link w:val="4"/>
    <w:qFormat/>
    <w:uiPriority w:val="10"/>
    <w:rPr>
      <w:rFonts w:ascii="宋体" w:hAnsi="宋体" w:eastAsia="宋体"/>
      <w:b/>
      <w:bCs/>
      <w:sz w:val="44"/>
      <w:szCs w:val="44"/>
    </w:rPr>
  </w:style>
  <w:style w:type="character" w:customStyle="1" w:styleId="21">
    <w:name w:val="标题 1 字符"/>
    <w:link w:val="3"/>
    <w:qFormat/>
    <w:uiPriority w:val="9"/>
    <w:rPr>
      <w:rFonts w:ascii="方正小标宋简体" w:hAnsi="宋体" w:eastAsia="方正小标宋简体"/>
      <w:sz w:val="44"/>
      <w:szCs w:val="44"/>
    </w:rPr>
  </w:style>
  <w:style w:type="character" w:customStyle="1" w:styleId="22">
    <w:name w:val="标题 2 字符"/>
    <w:link w:val="5"/>
    <w:qFormat/>
    <w:uiPriority w:val="9"/>
    <w:rPr>
      <w:rFonts w:ascii="仿宋_GB2312" w:hAnsi="仿宋" w:eastAsia="仿宋_GB2312"/>
      <w:sz w:val="32"/>
      <w:szCs w:val="32"/>
      <w:lang w:val="en-IE"/>
    </w:rPr>
  </w:style>
  <w:style w:type="character" w:customStyle="1" w:styleId="23">
    <w:name w:val="标题 3 字符"/>
    <w:link w:val="7"/>
    <w:qFormat/>
    <w:uiPriority w:val="9"/>
    <w:rPr>
      <w:rFonts w:eastAsia="仿宋_GB2312"/>
      <w:kern w:val="2"/>
      <w:sz w:val="32"/>
      <w:szCs w:val="32"/>
    </w:rPr>
  </w:style>
  <w:style w:type="character" w:customStyle="1" w:styleId="24">
    <w:name w:val="标题 4 字符"/>
    <w:link w:val="9"/>
    <w:qFormat/>
    <w:uiPriority w:val="9"/>
    <w:rPr>
      <w:rFonts w:eastAsia="仿宋_GB2312"/>
      <w:kern w:val="2"/>
      <w:sz w:val="32"/>
      <w:szCs w:val="32"/>
    </w:rPr>
  </w:style>
  <w:style w:type="character" w:customStyle="1" w:styleId="25">
    <w:name w:val="标题 5 字符"/>
    <w:link w:val="10"/>
    <w:qFormat/>
    <w:uiPriority w:val="9"/>
    <w:rPr>
      <w:rFonts w:ascii="仿宋_GB2312" w:eastAsia="仿宋_GB2312"/>
      <w:b/>
      <w:bCs/>
      <w:sz w:val="32"/>
      <w:szCs w:val="32"/>
    </w:rPr>
  </w:style>
  <w:style w:type="character" w:customStyle="1" w:styleId="26">
    <w:name w:val="批注文字 字符"/>
    <w:link w:val="11"/>
    <w:qFormat/>
    <w:uiPriority w:val="99"/>
    <w:rPr>
      <w:rFonts w:ascii="Times New Roman" w:hAnsi="Times New Roman" w:eastAsia="仿宋_GB2312" w:cs="Times New Roman"/>
      <w:sz w:val="32"/>
      <w:szCs w:val="32"/>
    </w:rPr>
  </w:style>
  <w:style w:type="character" w:customStyle="1" w:styleId="27">
    <w:name w:val="页脚 字符"/>
    <w:link w:val="12"/>
    <w:qFormat/>
    <w:uiPriority w:val="99"/>
    <w:rPr>
      <w:rFonts w:ascii="Times New Roman" w:hAnsi="Times New Roman" w:eastAsia="仿宋_GB2312" w:cs="Times New Roman"/>
      <w:sz w:val="18"/>
      <w:szCs w:val="18"/>
    </w:rPr>
  </w:style>
  <w:style w:type="character" w:customStyle="1" w:styleId="28">
    <w:name w:val="页眉 字符"/>
    <w:link w:val="13"/>
    <w:qFormat/>
    <w:uiPriority w:val="99"/>
    <w:rPr>
      <w:rFonts w:eastAsia="仿宋_GB2312"/>
      <w:kern w:val="2"/>
      <w:sz w:val="18"/>
      <w:szCs w:val="18"/>
    </w:rPr>
  </w:style>
  <w:style w:type="character" w:customStyle="1" w:styleId="29">
    <w:name w:val="批注主题 字符"/>
    <w:link w:val="14"/>
    <w:semiHidden/>
    <w:qFormat/>
    <w:uiPriority w:val="99"/>
    <w:rPr>
      <w:rFonts w:ascii="Times New Roman" w:hAnsi="Times New Roman" w:eastAsia="仿宋_GB2312" w:cs="Times New Roman"/>
      <w:b/>
      <w:bCs/>
      <w:sz w:val="32"/>
      <w:szCs w:val="32"/>
    </w:rPr>
  </w:style>
  <w:style w:type="paragraph" w:customStyle="1" w:styleId="30">
    <w:name w:val="修订1"/>
    <w:semiHidden/>
    <w:qFormat/>
    <w:uiPriority w:val="99"/>
    <w:rPr>
      <w:rFonts w:ascii="Times New Roman" w:hAnsi="Times New Roman" w:eastAsia="仿宋_GB2312" w:cs="Times New Roman"/>
      <w:kern w:val="2"/>
      <w:sz w:val="32"/>
      <w:szCs w:val="32"/>
      <w:lang w:val="en-US" w:eastAsia="zh-CN" w:bidi="ar-SA"/>
    </w:rPr>
  </w:style>
  <w:style w:type="paragraph" w:customStyle="1" w:styleId="31">
    <w:name w:val="修订2"/>
    <w:semiHidden/>
    <w:qFormat/>
    <w:uiPriority w:val="99"/>
    <w:rPr>
      <w:rFonts w:ascii="Times New Roman" w:hAnsi="Times New Roman" w:eastAsia="仿宋_GB2312" w:cs="Times New Roman"/>
      <w:kern w:val="2"/>
      <w:sz w:val="32"/>
      <w:szCs w:val="32"/>
      <w:lang w:val="en-US" w:eastAsia="zh-CN" w:bidi="ar-SA"/>
    </w:rPr>
  </w:style>
  <w:style w:type="paragraph" w:customStyle="1" w:styleId="32">
    <w:name w:val="修订3"/>
    <w:semiHidden/>
    <w:qFormat/>
    <w:uiPriority w:val="99"/>
    <w:rPr>
      <w:rFonts w:ascii="Times New Roman" w:hAnsi="Times New Roman" w:eastAsia="仿宋_GB2312" w:cs="Times New Roman"/>
      <w:kern w:val="2"/>
      <w:sz w:val="32"/>
      <w:szCs w:val="32"/>
      <w:lang w:val="en-US" w:eastAsia="zh-CN" w:bidi="ar-SA"/>
    </w:rPr>
  </w:style>
  <w:style w:type="paragraph" w:customStyle="1" w:styleId="33">
    <w:name w:val="Revision"/>
    <w:semiHidden/>
    <w:qFormat/>
    <w:uiPriority w:val="99"/>
    <w:rPr>
      <w:rFonts w:ascii="Times New Roman" w:hAnsi="Times New Roman" w:eastAsia="仿宋_GB2312" w:cs="Times New Roman"/>
      <w:kern w:val="2"/>
      <w:sz w:val="32"/>
      <w:szCs w:val="32"/>
      <w:lang w:val="en-US" w:eastAsia="zh-CN" w:bidi="ar-SA"/>
    </w:rPr>
  </w:style>
  <w:style w:type="paragraph" w:customStyle="1" w:styleId="34">
    <w:name w:val="Body text|1"/>
    <w:basedOn w:val="1"/>
    <w:qFormat/>
    <w:uiPriority w:val="0"/>
    <w:pPr>
      <w:widowControl w:val="0"/>
      <w:shd w:val="clear" w:color="auto" w:fill="auto"/>
      <w:spacing w:line="446" w:lineRule="auto"/>
      <w:ind w:firstLine="400"/>
    </w:pPr>
    <w:rPr>
      <w:rFonts w:ascii="宋体" w:hAnsi="宋体" w:eastAsia="宋体" w:cs="宋体"/>
      <w:color w:val="545454"/>
      <w:sz w:val="30"/>
      <w:szCs w:val="30"/>
      <w:u w:val="none"/>
      <w:shd w:val="clear" w:color="auto" w:fill="auto"/>
      <w:lang w:val="zh-TW" w:eastAsia="zh-TW" w:bidi="zh-TW"/>
    </w:rPr>
  </w:style>
  <w:style w:type="paragraph" w:customStyle="1" w:styleId="35">
    <w:name w:val="Header or footer|1"/>
    <w:basedOn w:val="1"/>
    <w:qFormat/>
    <w:uiPriority w:val="0"/>
    <w:pPr>
      <w:widowControl w:val="0"/>
      <w:shd w:val="clear" w:color="auto" w:fill="auto"/>
    </w:pPr>
    <w:rPr>
      <w:color w:val="545454"/>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2463</Words>
  <Characters>2474</Characters>
  <Lines>18</Lines>
  <Paragraphs>5</Paragraphs>
  <TotalTime>81</TotalTime>
  <ScaleCrop>false</ScaleCrop>
  <LinksUpToDate>false</LinksUpToDate>
  <CharactersWithSpaces>2517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2023-03-17T01:24:00Z</dcterms:created>
  <dc:creator>lenovo</dc:creator>
  <cp:lastModifiedBy>user</cp:lastModifiedBy>
  <dcterms:modified xsi:type="dcterms:W3CDTF">2023-07-04T15:27:18Z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D61245E273F94C25ADBCA3D3B0AC0A80_13</vt:lpwstr>
  </property>
</Properties>
</file>