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-1"/>
          <w:numId w:val="0"/>
        </w:numPr>
        <w:tabs>
          <w:tab w:val="left" w:pos="653"/>
          <w:tab w:val="center" w:pos="4153"/>
        </w:tabs>
        <w:adjustRightInd/>
        <w:snapToGrid/>
        <w:spacing w:line="600" w:lineRule="exact"/>
        <w:ind w:left="0" w:leftChars="0" w:firstLine="0" w:firstLineChars="0"/>
        <w:jc w:val="left"/>
        <w:outlineLvl w:val="9"/>
        <w:rPr>
          <w:rFonts w:hint="eastAsia" w:ascii="黑体" w:hAnsi="黑体" w:eastAsia="黑体" w:cs="黑体"/>
          <w:b w:val="0"/>
          <w:color w:val="000000"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 w:cs="黑体"/>
          <w:b w:val="0"/>
          <w:color w:val="000000"/>
          <w:sz w:val="32"/>
          <w:szCs w:val="32"/>
          <w:highlight w:val="none"/>
          <w:lang w:eastAsia="zh-CN"/>
        </w:rPr>
        <w:t>附件</w:t>
      </w:r>
    </w:p>
    <w:p>
      <w:pPr>
        <w:numPr>
          <w:numId w:val="0"/>
        </w:numPr>
        <w:spacing w:line="590" w:lineRule="exact"/>
        <w:ind w:firstLine="645"/>
        <w:jc w:val="center"/>
        <w:outlineLvl w:val="9"/>
        <w:rPr>
          <w:rFonts w:hint="eastAsia" w:ascii="仿宋_GB2312" w:hAnsi="仿宋_GB2312" w:eastAsia="仿宋_GB2312" w:cs="仿宋_GB2312"/>
          <w:b/>
          <w:bCs/>
          <w:sz w:val="44"/>
          <w:szCs w:val="44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highlight w:val="none"/>
        </w:rPr>
        <w:t>报价表</w:t>
      </w:r>
    </w:p>
    <w:tbl>
      <w:tblPr>
        <w:tblStyle w:val="7"/>
        <w:tblW w:w="13954" w:type="dxa"/>
        <w:tblInd w:w="10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6"/>
        <w:gridCol w:w="800"/>
        <w:gridCol w:w="916"/>
        <w:gridCol w:w="1460"/>
        <w:gridCol w:w="2004"/>
        <w:gridCol w:w="2432"/>
        <w:gridCol w:w="1431"/>
        <w:gridCol w:w="1288"/>
        <w:gridCol w:w="235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12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0"/>
              </w:tabs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ab/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8"/>
              </w:rPr>
              <w:t xml:space="preserve">       项   目                         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8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8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8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8"/>
              </w:rPr>
              <w:t>车   型</w:t>
            </w:r>
          </w:p>
        </w:tc>
        <w:tc>
          <w:tcPr>
            <w:tcW w:w="51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0"/>
              </w:tabs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8"/>
              </w:rPr>
              <w:t>租车费报价</w:t>
            </w:r>
          </w:p>
        </w:tc>
        <w:tc>
          <w:tcPr>
            <w:tcW w:w="750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0"/>
              </w:tabs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8"/>
              </w:rPr>
              <w:t>第三方驾驶员劳务费用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266" w:type="dxa"/>
            <w:vMerge w:val="continue"/>
            <w:tcBorders>
              <w:left w:val="single" w:color="auto" w:sz="4" w:space="0"/>
              <w:right w:val="single" w:color="auto" w:sz="4" w:space="0"/>
              <w:tl2br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0"/>
              </w:tabs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0"/>
              </w:tabs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1"/>
              </w:rPr>
              <w:t>基本租车费</w:t>
            </w:r>
          </w:p>
          <w:p>
            <w:pPr>
              <w:widowControl/>
              <w:tabs>
                <w:tab w:val="left" w:pos="0"/>
              </w:tabs>
              <w:ind w:firstLine="241" w:firstLineChars="100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1"/>
              </w:rPr>
              <w:t>(B)</w:t>
            </w:r>
          </w:p>
        </w:tc>
        <w:tc>
          <w:tcPr>
            <w:tcW w:w="1460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0"/>
              </w:tabs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1"/>
              </w:rPr>
              <w:t>基本租车</w:t>
            </w:r>
          </w:p>
          <w:p>
            <w:pPr>
              <w:widowControl/>
              <w:tabs>
                <w:tab w:val="left" w:pos="0"/>
              </w:tabs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1"/>
              </w:rPr>
              <w:t xml:space="preserve">定额里程 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1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1"/>
              </w:rPr>
              <w:t>（公里/天）</w:t>
            </w:r>
          </w:p>
          <w:p>
            <w:pPr>
              <w:widowControl/>
              <w:tabs>
                <w:tab w:val="left" w:pos="0"/>
              </w:tabs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1"/>
              </w:rPr>
              <w:t>(C)</w:t>
            </w:r>
          </w:p>
        </w:tc>
        <w:tc>
          <w:tcPr>
            <w:tcW w:w="2004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0"/>
              </w:tabs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1"/>
              </w:rPr>
              <w:t>超里程收费</w:t>
            </w:r>
          </w:p>
          <w:p>
            <w:pPr>
              <w:widowControl/>
              <w:tabs>
                <w:tab w:val="left" w:pos="0"/>
              </w:tabs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1"/>
              </w:rPr>
              <w:t>（元/公里）</w:t>
            </w:r>
          </w:p>
          <w:p>
            <w:pPr>
              <w:widowControl/>
              <w:tabs>
                <w:tab w:val="left" w:pos="0"/>
              </w:tabs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1"/>
              </w:rPr>
              <w:t>(D)</w:t>
            </w:r>
          </w:p>
        </w:tc>
        <w:tc>
          <w:tcPr>
            <w:tcW w:w="2432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0"/>
              </w:tabs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1"/>
              </w:rPr>
              <w:t>驾驶劳务费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1"/>
              </w:rPr>
              <w:t>（元/天）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1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1"/>
              </w:rPr>
              <w:t xml:space="preserve">含：基本劳务费（8小时 /天）、开票税金等 </w:t>
            </w:r>
          </w:p>
        </w:tc>
        <w:tc>
          <w:tcPr>
            <w:tcW w:w="1431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0"/>
              </w:tabs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</w:rPr>
              <w:t>餐费</w:t>
            </w:r>
          </w:p>
          <w:p>
            <w:pPr>
              <w:widowControl/>
              <w:tabs>
                <w:tab w:val="left" w:pos="0"/>
              </w:tabs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</w:rPr>
              <w:t>（元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1"/>
              </w:rPr>
              <w:t>/天）</w:t>
            </w:r>
          </w:p>
        </w:tc>
        <w:tc>
          <w:tcPr>
            <w:tcW w:w="1288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0"/>
              </w:tabs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</w:rPr>
              <w:t>住宿</w:t>
            </w:r>
          </w:p>
          <w:p>
            <w:pPr>
              <w:widowControl/>
              <w:tabs>
                <w:tab w:val="left" w:pos="0"/>
              </w:tabs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</w:rPr>
              <w:t>（元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1"/>
              </w:rPr>
              <w:t>/天）</w:t>
            </w:r>
          </w:p>
        </w:tc>
        <w:tc>
          <w:tcPr>
            <w:tcW w:w="2357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0"/>
              </w:tabs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</w:rPr>
              <w:t>超强工作（元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1"/>
              </w:rPr>
              <w:t>/小时）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（每天行车超过8小时）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26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0"/>
              </w:tabs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0"/>
              </w:tabs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1"/>
              </w:rPr>
              <w:t>含税价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0"/>
              </w:tabs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1"/>
              </w:rPr>
              <w:t>不含税价</w:t>
            </w:r>
          </w:p>
        </w:tc>
        <w:tc>
          <w:tcPr>
            <w:tcW w:w="146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0"/>
              </w:tabs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200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0"/>
              </w:tabs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243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0"/>
              </w:tabs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43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0"/>
              </w:tabs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28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0"/>
              </w:tabs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35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0"/>
              </w:tabs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1395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0"/>
              </w:tabs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1"/>
              </w:rPr>
              <w:t>一、1.8升轿车；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</w:trPr>
        <w:tc>
          <w:tcPr>
            <w:tcW w:w="12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0"/>
              </w:tabs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1"/>
                <w:lang w:eastAsia="zh-CN"/>
              </w:rPr>
              <w:t>帕萨特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0"/>
              </w:tabs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1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0"/>
              </w:tabs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1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0"/>
              </w:tabs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1"/>
              </w:rPr>
            </w:pPr>
          </w:p>
        </w:tc>
        <w:tc>
          <w:tcPr>
            <w:tcW w:w="20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0"/>
              </w:tabs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1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0"/>
              </w:tabs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1"/>
              </w:rPr>
            </w:pPr>
          </w:p>
        </w:tc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0"/>
              </w:tabs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1"/>
              </w:rPr>
            </w:pP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0"/>
              </w:tabs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1"/>
              </w:rPr>
            </w:pPr>
          </w:p>
        </w:tc>
        <w:tc>
          <w:tcPr>
            <w:tcW w:w="2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0"/>
              </w:tabs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0"/>
              </w:tabs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1"/>
                <w:lang w:eastAsia="zh-CN"/>
              </w:rPr>
              <w:t>迈腾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0"/>
              </w:tabs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1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0"/>
              </w:tabs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1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0"/>
              </w:tabs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1"/>
              </w:rPr>
            </w:pPr>
          </w:p>
        </w:tc>
        <w:tc>
          <w:tcPr>
            <w:tcW w:w="20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0"/>
              </w:tabs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1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0"/>
              </w:tabs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1"/>
              </w:rPr>
            </w:pPr>
          </w:p>
        </w:tc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0"/>
              </w:tabs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1"/>
              </w:rPr>
            </w:pP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0"/>
              </w:tabs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1"/>
              </w:rPr>
            </w:pPr>
          </w:p>
        </w:tc>
        <w:tc>
          <w:tcPr>
            <w:tcW w:w="2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0"/>
              </w:tabs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0"/>
              </w:tabs>
              <w:jc w:val="left"/>
              <w:rPr>
                <w:rFonts w:hint="default" w:ascii="仿宋_GB2312" w:hAnsi="仿宋_GB2312" w:eastAsia="仿宋_GB2312" w:cs="仿宋_GB2312"/>
                <w:color w:val="000000"/>
                <w:sz w:val="2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1"/>
                <w:lang w:val="en-US" w:eastAsia="zh-CN"/>
              </w:rPr>
              <w:t>...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0"/>
              </w:tabs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1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0"/>
              </w:tabs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1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0"/>
              </w:tabs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1"/>
              </w:rPr>
            </w:pPr>
          </w:p>
        </w:tc>
        <w:tc>
          <w:tcPr>
            <w:tcW w:w="20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0"/>
              </w:tabs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1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0"/>
              </w:tabs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1"/>
              </w:rPr>
            </w:pPr>
          </w:p>
        </w:tc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0"/>
              </w:tabs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1"/>
              </w:rPr>
            </w:pP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0"/>
              </w:tabs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1"/>
              </w:rPr>
            </w:pPr>
          </w:p>
        </w:tc>
        <w:tc>
          <w:tcPr>
            <w:tcW w:w="2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0"/>
              </w:tabs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1395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tabs>
                <w:tab w:val="left" w:pos="0"/>
              </w:tabs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1"/>
              </w:rPr>
              <w:t>二、7-9座客车；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12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0"/>
              </w:tabs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1"/>
              </w:rPr>
              <w:t>别克GL8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0"/>
              </w:tabs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1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0"/>
              </w:tabs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1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0"/>
              </w:tabs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1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0"/>
              </w:tabs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1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0"/>
              </w:tabs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1"/>
              </w:rPr>
            </w:pPr>
          </w:p>
        </w:tc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0"/>
              </w:tabs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1"/>
              </w:rPr>
            </w:pP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0"/>
              </w:tabs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1"/>
              </w:rPr>
            </w:pPr>
          </w:p>
        </w:tc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0"/>
              </w:tabs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12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0"/>
              </w:tabs>
              <w:jc w:val="left"/>
              <w:rPr>
                <w:rFonts w:hint="default" w:ascii="仿宋_GB2312" w:hAnsi="仿宋_GB2312" w:eastAsia="仿宋_GB2312" w:cs="仿宋_GB2312"/>
                <w:color w:val="000000"/>
                <w:sz w:val="2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1"/>
                <w:lang w:val="en-US" w:eastAsia="zh-CN"/>
              </w:rPr>
              <w:t>本田奥德赛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0"/>
              </w:tabs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1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0"/>
              </w:tabs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1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0"/>
              </w:tabs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1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0"/>
              </w:tabs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1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0"/>
              </w:tabs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1"/>
              </w:rPr>
            </w:pPr>
          </w:p>
        </w:tc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0"/>
              </w:tabs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1"/>
              </w:rPr>
            </w:pP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0"/>
              </w:tabs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1"/>
              </w:rPr>
            </w:pPr>
          </w:p>
        </w:tc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0"/>
              </w:tabs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12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0"/>
              </w:tabs>
              <w:jc w:val="left"/>
              <w:rPr>
                <w:rFonts w:hint="default" w:ascii="仿宋_GB2312" w:hAnsi="仿宋_GB2312" w:eastAsia="仿宋_GB2312" w:cs="仿宋_GB2312"/>
                <w:color w:val="000000"/>
                <w:sz w:val="2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1"/>
                <w:lang w:val="en-US" w:eastAsia="zh-CN"/>
              </w:rPr>
              <w:t>...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0"/>
              </w:tabs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1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0"/>
              </w:tabs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1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0"/>
              </w:tabs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1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0"/>
              </w:tabs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1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0"/>
              </w:tabs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1"/>
              </w:rPr>
            </w:pPr>
          </w:p>
        </w:tc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0"/>
              </w:tabs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1"/>
              </w:rPr>
            </w:pP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0"/>
              </w:tabs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1"/>
              </w:rPr>
            </w:pPr>
          </w:p>
        </w:tc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0"/>
              </w:tabs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1395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tabs>
                <w:tab w:val="left" w:pos="0"/>
              </w:tabs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1"/>
              </w:rPr>
              <w:t>三、4.0升以内越野车；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0"/>
              </w:tabs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1"/>
              </w:rPr>
              <w:t>帕杰罗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0"/>
              </w:tabs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1"/>
              </w:rPr>
            </w:pP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0"/>
              </w:tabs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1"/>
              </w:rPr>
            </w:pPr>
          </w:p>
        </w:tc>
        <w:tc>
          <w:tcPr>
            <w:tcW w:w="1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0"/>
              </w:tabs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1"/>
              </w:rPr>
            </w:pPr>
          </w:p>
        </w:tc>
        <w:tc>
          <w:tcPr>
            <w:tcW w:w="20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0"/>
              </w:tabs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1"/>
              </w:rPr>
            </w:pPr>
          </w:p>
        </w:tc>
        <w:tc>
          <w:tcPr>
            <w:tcW w:w="2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0"/>
              </w:tabs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1"/>
              </w:rPr>
            </w:pPr>
          </w:p>
        </w:tc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0"/>
              </w:tabs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1"/>
              </w:rPr>
            </w:pP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0"/>
              </w:tabs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1"/>
              </w:rPr>
            </w:pPr>
          </w:p>
        </w:tc>
        <w:tc>
          <w:tcPr>
            <w:tcW w:w="2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0"/>
              </w:tabs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0"/>
              </w:tabs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1"/>
              </w:rPr>
              <w:t>普拉多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0"/>
              </w:tabs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1"/>
              </w:rPr>
            </w:pP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0"/>
              </w:tabs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1"/>
              </w:rPr>
            </w:pPr>
          </w:p>
        </w:tc>
        <w:tc>
          <w:tcPr>
            <w:tcW w:w="1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0"/>
              </w:tabs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1"/>
              </w:rPr>
            </w:pPr>
          </w:p>
        </w:tc>
        <w:tc>
          <w:tcPr>
            <w:tcW w:w="20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0"/>
              </w:tabs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1"/>
              </w:rPr>
            </w:pPr>
          </w:p>
        </w:tc>
        <w:tc>
          <w:tcPr>
            <w:tcW w:w="2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0"/>
              </w:tabs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1"/>
              </w:rPr>
            </w:pPr>
          </w:p>
        </w:tc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0"/>
              </w:tabs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1"/>
              </w:rPr>
            </w:pP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0"/>
              </w:tabs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1"/>
              </w:rPr>
            </w:pPr>
          </w:p>
        </w:tc>
        <w:tc>
          <w:tcPr>
            <w:tcW w:w="2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0"/>
              </w:tabs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0"/>
              </w:tabs>
              <w:jc w:val="left"/>
              <w:rPr>
                <w:rFonts w:hint="default" w:ascii="仿宋_GB2312" w:hAnsi="仿宋_GB2312" w:eastAsia="仿宋_GB2312" w:cs="仿宋_GB2312"/>
                <w:color w:val="000000"/>
                <w:sz w:val="2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1"/>
                <w:lang w:val="en-US" w:eastAsia="zh-CN"/>
              </w:rPr>
              <w:t>...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0"/>
              </w:tabs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1"/>
              </w:rPr>
            </w:pP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0"/>
              </w:tabs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1"/>
              </w:rPr>
            </w:pPr>
          </w:p>
        </w:tc>
        <w:tc>
          <w:tcPr>
            <w:tcW w:w="1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0"/>
              </w:tabs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1"/>
              </w:rPr>
            </w:pPr>
          </w:p>
        </w:tc>
        <w:tc>
          <w:tcPr>
            <w:tcW w:w="20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0"/>
              </w:tabs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1"/>
              </w:rPr>
            </w:pPr>
          </w:p>
        </w:tc>
        <w:tc>
          <w:tcPr>
            <w:tcW w:w="2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0"/>
              </w:tabs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1"/>
              </w:rPr>
            </w:pPr>
          </w:p>
        </w:tc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0"/>
              </w:tabs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1"/>
              </w:rPr>
            </w:pP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0"/>
              </w:tabs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1"/>
              </w:rPr>
            </w:pPr>
          </w:p>
        </w:tc>
        <w:tc>
          <w:tcPr>
            <w:tcW w:w="2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0"/>
              </w:tabs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1"/>
              </w:rPr>
            </w:pPr>
          </w:p>
        </w:tc>
      </w:tr>
    </w:tbl>
    <w:p>
      <w:pPr>
        <w:tabs>
          <w:tab w:val="left" w:pos="0"/>
        </w:tabs>
        <w:rPr>
          <w:rFonts w:hint="eastAsia" w:ascii="仿宋_GB2312" w:hAnsi="仿宋_GB2312" w:eastAsia="仿宋_GB2312" w:cs="仿宋_GB2312"/>
        </w:rPr>
      </w:pPr>
    </w:p>
    <w:p>
      <w:pPr>
        <w:tabs>
          <w:tab w:val="left" w:pos="0"/>
        </w:tabs>
        <w:rPr>
          <w:rFonts w:hint="eastAsia" w:ascii="仿宋_GB2312" w:hAnsi="仿宋_GB2312" w:eastAsia="仿宋_GB2312" w:cs="仿宋_GB2312"/>
        </w:rPr>
      </w:pPr>
    </w:p>
    <w:p>
      <w:pPr>
        <w:tabs>
          <w:tab w:val="left" w:pos="0"/>
        </w:tabs>
        <w:adjustRightInd w:val="0"/>
        <w:spacing w:line="480" w:lineRule="auto"/>
        <w:jc w:val="center"/>
        <w:rPr>
          <w:rFonts w:hint="eastAsia" w:ascii="仿宋_GB2312" w:hAnsi="仿宋_GB2312" w:eastAsia="仿宋_GB2312" w:cs="仿宋_GB2312"/>
          <w:b/>
          <w:bCs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</w:rPr>
        <w:t>中大型客车报价表</w:t>
      </w:r>
    </w:p>
    <w:tbl>
      <w:tblPr>
        <w:tblStyle w:val="8"/>
        <w:tblW w:w="13110" w:type="dxa"/>
        <w:jc w:val="center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85"/>
        <w:gridCol w:w="1365"/>
        <w:gridCol w:w="1560"/>
        <w:gridCol w:w="4020"/>
        <w:gridCol w:w="338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2785" w:type="dxa"/>
            <w:vMerge w:val="restart"/>
            <w:vAlign w:val="center"/>
          </w:tcPr>
          <w:p>
            <w:pPr>
              <w:tabs>
                <w:tab w:val="left" w:pos="0"/>
              </w:tabs>
              <w:adjustRightInd w:val="0"/>
              <w:spacing w:line="276" w:lineRule="auto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车型</w:t>
            </w:r>
          </w:p>
        </w:tc>
        <w:tc>
          <w:tcPr>
            <w:tcW w:w="2925" w:type="dxa"/>
            <w:gridSpan w:val="2"/>
            <w:vAlign w:val="center"/>
          </w:tcPr>
          <w:p>
            <w:pPr>
              <w:tabs>
                <w:tab w:val="left" w:pos="0"/>
              </w:tabs>
              <w:adjustRightInd w:val="0"/>
              <w:spacing w:line="276" w:lineRule="auto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车辆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eastAsia="zh-CN"/>
              </w:rPr>
              <w:t>及配驾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基本费用</w:t>
            </w:r>
          </w:p>
          <w:p>
            <w:pPr>
              <w:tabs>
                <w:tab w:val="left" w:pos="0"/>
              </w:tabs>
              <w:adjustRightInd w:val="0"/>
              <w:spacing w:line="276" w:lineRule="auto"/>
              <w:jc w:val="center"/>
              <w:rPr>
                <w:rFonts w:hint="eastAsia" w:ascii="仿宋_GB2312" w:hAnsi="仿宋_GB2312" w:eastAsia="仿宋_GB2312" w:cs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18"/>
                <w:szCs w:val="18"/>
              </w:rPr>
              <w:t>（含100公里燃油费）</w:t>
            </w:r>
          </w:p>
          <w:p>
            <w:pPr>
              <w:tabs>
                <w:tab w:val="left" w:pos="0"/>
              </w:tabs>
              <w:adjustRightInd w:val="0"/>
              <w:spacing w:line="276" w:lineRule="auto"/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18"/>
                <w:szCs w:val="18"/>
              </w:rPr>
              <w:t>元/天</w:t>
            </w:r>
          </w:p>
        </w:tc>
        <w:tc>
          <w:tcPr>
            <w:tcW w:w="4020" w:type="dxa"/>
            <w:vMerge w:val="restart"/>
            <w:vAlign w:val="center"/>
          </w:tcPr>
          <w:p>
            <w:pPr>
              <w:tabs>
                <w:tab w:val="left" w:pos="0"/>
              </w:tabs>
              <w:adjustRightInd w:val="0"/>
              <w:spacing w:line="276" w:lineRule="auto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超100公里运行费用</w:t>
            </w:r>
          </w:p>
          <w:p>
            <w:pPr>
              <w:tabs>
                <w:tab w:val="left" w:pos="0"/>
              </w:tabs>
              <w:adjustRightInd w:val="0"/>
              <w:spacing w:line="276" w:lineRule="auto"/>
              <w:jc w:val="center"/>
              <w:rPr>
                <w:rFonts w:hint="eastAsia" w:ascii="仿宋_GB2312" w:hAnsi="仿宋_GB2312" w:eastAsia="仿宋_GB2312" w:cs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18"/>
                <w:szCs w:val="18"/>
              </w:rPr>
              <w:t>（含油费、停车费、洗车费、超里程费）</w:t>
            </w:r>
          </w:p>
          <w:p>
            <w:pPr>
              <w:tabs>
                <w:tab w:val="left" w:pos="0"/>
              </w:tabs>
              <w:adjustRightInd w:val="0"/>
              <w:spacing w:line="276" w:lineRule="auto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18"/>
                <w:szCs w:val="18"/>
              </w:rPr>
              <w:t>元/公里</w:t>
            </w:r>
          </w:p>
        </w:tc>
        <w:tc>
          <w:tcPr>
            <w:tcW w:w="3380" w:type="dxa"/>
            <w:vMerge w:val="restart"/>
            <w:vAlign w:val="center"/>
          </w:tcPr>
          <w:p>
            <w:pPr>
              <w:tabs>
                <w:tab w:val="left" w:pos="0"/>
              </w:tabs>
              <w:adjustRightInd w:val="0"/>
              <w:spacing w:line="276" w:lineRule="auto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超时费</w:t>
            </w:r>
          </w:p>
          <w:p>
            <w:pPr>
              <w:tabs>
                <w:tab w:val="left" w:pos="0"/>
              </w:tabs>
              <w:adjustRightInd w:val="0"/>
              <w:spacing w:line="276" w:lineRule="auto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（超过8小时收费）</w:t>
            </w:r>
          </w:p>
          <w:p>
            <w:pPr>
              <w:tabs>
                <w:tab w:val="left" w:pos="0"/>
              </w:tabs>
              <w:adjustRightInd w:val="0"/>
              <w:spacing w:line="276" w:lineRule="auto"/>
              <w:jc w:val="center"/>
              <w:rPr>
                <w:rFonts w:hint="eastAsia" w:ascii="仿宋_GB2312" w:hAnsi="仿宋_GB2312" w:eastAsia="仿宋_GB2312" w:cs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18"/>
                <w:szCs w:val="18"/>
              </w:rPr>
              <w:t>元/小时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2785" w:type="dxa"/>
            <w:vMerge w:val="continue"/>
            <w:vAlign w:val="center"/>
          </w:tcPr>
          <w:p>
            <w:pPr>
              <w:tabs>
                <w:tab w:val="left" w:pos="0"/>
              </w:tabs>
              <w:adjustRightInd w:val="0"/>
              <w:spacing w:line="276" w:lineRule="auto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1365" w:type="dxa"/>
            <w:vAlign w:val="center"/>
          </w:tcPr>
          <w:p>
            <w:pPr>
              <w:tabs>
                <w:tab w:val="left" w:pos="0"/>
              </w:tabs>
              <w:adjustRightInd w:val="0"/>
              <w:spacing w:line="276" w:lineRule="auto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含税价</w:t>
            </w:r>
          </w:p>
        </w:tc>
        <w:tc>
          <w:tcPr>
            <w:tcW w:w="1560" w:type="dxa"/>
            <w:vAlign w:val="center"/>
          </w:tcPr>
          <w:p>
            <w:pPr>
              <w:tabs>
                <w:tab w:val="left" w:pos="0"/>
              </w:tabs>
              <w:adjustRightInd w:val="0"/>
              <w:spacing w:line="276" w:lineRule="auto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不含税价</w:t>
            </w:r>
          </w:p>
        </w:tc>
        <w:tc>
          <w:tcPr>
            <w:tcW w:w="4020" w:type="dxa"/>
            <w:vMerge w:val="continue"/>
            <w:vAlign w:val="center"/>
          </w:tcPr>
          <w:p>
            <w:pPr>
              <w:tabs>
                <w:tab w:val="left" w:pos="0"/>
              </w:tabs>
              <w:adjustRightInd w:val="0"/>
              <w:spacing w:line="276" w:lineRule="auto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3380" w:type="dxa"/>
            <w:vMerge w:val="continue"/>
            <w:vAlign w:val="center"/>
          </w:tcPr>
          <w:p>
            <w:pPr>
              <w:tabs>
                <w:tab w:val="left" w:pos="0"/>
              </w:tabs>
              <w:adjustRightInd w:val="0"/>
              <w:spacing w:line="276" w:lineRule="auto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2785" w:type="dxa"/>
            <w:vAlign w:val="center"/>
          </w:tcPr>
          <w:p>
            <w:pPr>
              <w:tabs>
                <w:tab w:val="left" w:pos="0"/>
              </w:tabs>
              <w:adjustRightInd w:val="0"/>
              <w:spacing w:line="276" w:lineRule="auto"/>
              <w:jc w:val="left"/>
              <w:rPr>
                <w:rFonts w:hint="default" w:ascii="仿宋_GB2312" w:hAnsi="仿宋_GB2312" w:eastAsia="仿宋_GB2312" w:cs="仿宋_GB2312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val="en-US" w:eastAsia="zh-CN"/>
              </w:rPr>
              <w:t>一、17-23座客车</w:t>
            </w:r>
          </w:p>
        </w:tc>
        <w:tc>
          <w:tcPr>
            <w:tcW w:w="1365" w:type="dxa"/>
            <w:vAlign w:val="center"/>
          </w:tcPr>
          <w:p>
            <w:pPr>
              <w:tabs>
                <w:tab w:val="left" w:pos="0"/>
              </w:tabs>
              <w:adjustRightInd w:val="0"/>
              <w:spacing w:line="276" w:lineRule="auto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tabs>
                <w:tab w:val="left" w:pos="0"/>
              </w:tabs>
              <w:adjustRightInd w:val="0"/>
              <w:spacing w:line="276" w:lineRule="auto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4020" w:type="dxa"/>
            <w:vAlign w:val="center"/>
          </w:tcPr>
          <w:p>
            <w:pPr>
              <w:tabs>
                <w:tab w:val="left" w:pos="0"/>
              </w:tabs>
              <w:adjustRightInd w:val="0"/>
              <w:spacing w:line="276" w:lineRule="auto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3380" w:type="dxa"/>
            <w:vAlign w:val="center"/>
          </w:tcPr>
          <w:p>
            <w:pPr>
              <w:tabs>
                <w:tab w:val="left" w:pos="0"/>
              </w:tabs>
              <w:adjustRightInd w:val="0"/>
              <w:spacing w:line="276" w:lineRule="auto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85" w:type="dxa"/>
            <w:vAlign w:val="center"/>
          </w:tcPr>
          <w:p>
            <w:pPr>
              <w:tabs>
                <w:tab w:val="center" w:pos="786"/>
                <w:tab w:val="right" w:pos="1452"/>
              </w:tabs>
              <w:adjustRightInd w:val="0"/>
              <w:spacing w:line="480" w:lineRule="auto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丰田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考斯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特</w:t>
            </w:r>
          </w:p>
        </w:tc>
        <w:tc>
          <w:tcPr>
            <w:tcW w:w="1365" w:type="dxa"/>
            <w:vAlign w:val="center"/>
          </w:tcPr>
          <w:p>
            <w:pPr>
              <w:tabs>
                <w:tab w:val="left" w:pos="0"/>
              </w:tabs>
              <w:adjustRightInd w:val="0"/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tabs>
                <w:tab w:val="left" w:pos="0"/>
              </w:tabs>
              <w:adjustRightInd w:val="0"/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020" w:type="dxa"/>
            <w:vAlign w:val="center"/>
          </w:tcPr>
          <w:p>
            <w:pPr>
              <w:tabs>
                <w:tab w:val="left" w:pos="0"/>
              </w:tabs>
              <w:adjustRightInd w:val="0"/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380" w:type="dxa"/>
            <w:vAlign w:val="center"/>
          </w:tcPr>
          <w:p>
            <w:pPr>
              <w:tabs>
                <w:tab w:val="left" w:pos="0"/>
              </w:tabs>
              <w:adjustRightInd w:val="0"/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85" w:type="dxa"/>
            <w:vAlign w:val="center"/>
          </w:tcPr>
          <w:p>
            <w:pPr>
              <w:tabs>
                <w:tab w:val="center" w:pos="786"/>
                <w:tab w:val="right" w:pos="1452"/>
              </w:tabs>
              <w:adjustRightInd w:val="0"/>
              <w:spacing w:line="480" w:lineRule="auto"/>
              <w:jc w:val="left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现代康恩迪</w:t>
            </w:r>
          </w:p>
        </w:tc>
        <w:tc>
          <w:tcPr>
            <w:tcW w:w="1365" w:type="dxa"/>
            <w:vAlign w:val="center"/>
          </w:tcPr>
          <w:p>
            <w:pPr>
              <w:tabs>
                <w:tab w:val="left" w:pos="0"/>
              </w:tabs>
              <w:adjustRightInd w:val="0"/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tabs>
                <w:tab w:val="left" w:pos="0"/>
              </w:tabs>
              <w:adjustRightInd w:val="0"/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020" w:type="dxa"/>
            <w:vAlign w:val="center"/>
          </w:tcPr>
          <w:p>
            <w:pPr>
              <w:tabs>
                <w:tab w:val="left" w:pos="0"/>
              </w:tabs>
              <w:adjustRightInd w:val="0"/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380" w:type="dxa"/>
            <w:vAlign w:val="center"/>
          </w:tcPr>
          <w:p>
            <w:pPr>
              <w:tabs>
                <w:tab w:val="left" w:pos="0"/>
              </w:tabs>
              <w:adjustRightInd w:val="0"/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85" w:type="dxa"/>
            <w:vAlign w:val="center"/>
          </w:tcPr>
          <w:p>
            <w:pPr>
              <w:tabs>
                <w:tab w:val="center" w:pos="786"/>
                <w:tab w:val="right" w:pos="1452"/>
              </w:tabs>
              <w:adjustRightInd w:val="0"/>
              <w:spacing w:line="480" w:lineRule="auto"/>
              <w:jc w:val="left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...</w:t>
            </w:r>
          </w:p>
        </w:tc>
        <w:tc>
          <w:tcPr>
            <w:tcW w:w="1365" w:type="dxa"/>
            <w:vAlign w:val="center"/>
          </w:tcPr>
          <w:p>
            <w:pPr>
              <w:tabs>
                <w:tab w:val="left" w:pos="0"/>
              </w:tabs>
              <w:adjustRightInd w:val="0"/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tabs>
                <w:tab w:val="left" w:pos="0"/>
              </w:tabs>
              <w:adjustRightInd w:val="0"/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020" w:type="dxa"/>
            <w:vAlign w:val="center"/>
          </w:tcPr>
          <w:p>
            <w:pPr>
              <w:tabs>
                <w:tab w:val="left" w:pos="0"/>
              </w:tabs>
              <w:adjustRightInd w:val="0"/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380" w:type="dxa"/>
            <w:vAlign w:val="center"/>
          </w:tcPr>
          <w:p>
            <w:pPr>
              <w:tabs>
                <w:tab w:val="left" w:pos="0"/>
              </w:tabs>
              <w:adjustRightInd w:val="0"/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85" w:type="dxa"/>
            <w:vAlign w:val="center"/>
          </w:tcPr>
          <w:p>
            <w:pPr>
              <w:tabs>
                <w:tab w:val="center" w:pos="786"/>
                <w:tab w:val="right" w:pos="1452"/>
              </w:tabs>
              <w:adjustRightInd w:val="0"/>
              <w:spacing w:line="480" w:lineRule="auto"/>
              <w:jc w:val="left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二、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lang w:val="en-US" w:eastAsia="zh-CN"/>
              </w:rPr>
              <w:t>48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  <w:t>座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lang w:eastAsia="zh-CN"/>
              </w:rPr>
              <w:t>以上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lang w:val="en-US" w:eastAsia="zh-CN"/>
              </w:rPr>
              <w:t>客车</w:t>
            </w:r>
          </w:p>
        </w:tc>
        <w:tc>
          <w:tcPr>
            <w:tcW w:w="1365" w:type="dxa"/>
            <w:vAlign w:val="center"/>
          </w:tcPr>
          <w:p>
            <w:pPr>
              <w:tabs>
                <w:tab w:val="left" w:pos="0"/>
              </w:tabs>
              <w:adjustRightInd w:val="0"/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tabs>
                <w:tab w:val="left" w:pos="0"/>
              </w:tabs>
              <w:adjustRightInd w:val="0"/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020" w:type="dxa"/>
            <w:vAlign w:val="center"/>
          </w:tcPr>
          <w:p>
            <w:pPr>
              <w:tabs>
                <w:tab w:val="left" w:pos="0"/>
              </w:tabs>
              <w:adjustRightInd w:val="0"/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380" w:type="dxa"/>
            <w:vAlign w:val="center"/>
          </w:tcPr>
          <w:p>
            <w:pPr>
              <w:tabs>
                <w:tab w:val="left" w:pos="0"/>
              </w:tabs>
              <w:adjustRightInd w:val="0"/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2785" w:type="dxa"/>
            <w:vAlign w:val="center"/>
          </w:tcPr>
          <w:p>
            <w:pPr>
              <w:tabs>
                <w:tab w:val="left" w:pos="0"/>
              </w:tabs>
              <w:adjustRightInd w:val="0"/>
              <w:spacing w:line="480" w:lineRule="auto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lang w:eastAsia="zh-CN"/>
              </w:rPr>
              <w:t>宇通</w:t>
            </w:r>
          </w:p>
        </w:tc>
        <w:tc>
          <w:tcPr>
            <w:tcW w:w="1365" w:type="dxa"/>
            <w:vAlign w:val="center"/>
          </w:tcPr>
          <w:p>
            <w:pPr>
              <w:tabs>
                <w:tab w:val="left" w:pos="0"/>
              </w:tabs>
              <w:adjustRightInd w:val="0"/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tabs>
                <w:tab w:val="left" w:pos="0"/>
              </w:tabs>
              <w:adjustRightInd w:val="0"/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020" w:type="dxa"/>
            <w:vAlign w:val="center"/>
          </w:tcPr>
          <w:p>
            <w:pPr>
              <w:tabs>
                <w:tab w:val="left" w:pos="0"/>
              </w:tabs>
              <w:adjustRightInd w:val="0"/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380" w:type="dxa"/>
            <w:vAlign w:val="center"/>
          </w:tcPr>
          <w:p>
            <w:pPr>
              <w:tabs>
                <w:tab w:val="left" w:pos="0"/>
              </w:tabs>
              <w:adjustRightInd w:val="0"/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785" w:type="dxa"/>
            <w:vAlign w:val="center"/>
          </w:tcPr>
          <w:p>
            <w:pPr>
              <w:tabs>
                <w:tab w:val="left" w:pos="0"/>
              </w:tabs>
              <w:adjustRightInd w:val="0"/>
              <w:spacing w:line="480" w:lineRule="auto"/>
              <w:jc w:val="both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lang w:eastAsia="zh-CN"/>
              </w:rPr>
              <w:t>金龙</w:t>
            </w:r>
          </w:p>
        </w:tc>
        <w:tc>
          <w:tcPr>
            <w:tcW w:w="1365" w:type="dxa"/>
            <w:vAlign w:val="center"/>
          </w:tcPr>
          <w:p>
            <w:pPr>
              <w:tabs>
                <w:tab w:val="left" w:pos="0"/>
              </w:tabs>
              <w:adjustRightInd w:val="0"/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tabs>
                <w:tab w:val="left" w:pos="0"/>
              </w:tabs>
              <w:adjustRightInd w:val="0"/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020" w:type="dxa"/>
            <w:vAlign w:val="center"/>
          </w:tcPr>
          <w:p>
            <w:pPr>
              <w:tabs>
                <w:tab w:val="left" w:pos="0"/>
              </w:tabs>
              <w:adjustRightInd w:val="0"/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380" w:type="dxa"/>
            <w:vAlign w:val="center"/>
          </w:tcPr>
          <w:p>
            <w:pPr>
              <w:tabs>
                <w:tab w:val="left" w:pos="0"/>
              </w:tabs>
              <w:adjustRightInd w:val="0"/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2785" w:type="dxa"/>
            <w:vAlign w:val="center"/>
          </w:tcPr>
          <w:p>
            <w:pPr>
              <w:tabs>
                <w:tab w:val="left" w:pos="0"/>
              </w:tabs>
              <w:adjustRightInd w:val="0"/>
              <w:spacing w:line="480" w:lineRule="auto"/>
              <w:jc w:val="both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lang w:eastAsia="zh-CN"/>
              </w:rPr>
              <w:t>海格</w:t>
            </w:r>
          </w:p>
        </w:tc>
        <w:tc>
          <w:tcPr>
            <w:tcW w:w="1365" w:type="dxa"/>
            <w:vAlign w:val="center"/>
          </w:tcPr>
          <w:p>
            <w:pPr>
              <w:tabs>
                <w:tab w:val="left" w:pos="0"/>
              </w:tabs>
              <w:adjustRightInd w:val="0"/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tabs>
                <w:tab w:val="left" w:pos="0"/>
              </w:tabs>
              <w:adjustRightInd w:val="0"/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020" w:type="dxa"/>
            <w:vAlign w:val="center"/>
          </w:tcPr>
          <w:p>
            <w:pPr>
              <w:tabs>
                <w:tab w:val="left" w:pos="0"/>
              </w:tabs>
              <w:adjustRightInd w:val="0"/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380" w:type="dxa"/>
            <w:vAlign w:val="center"/>
          </w:tcPr>
          <w:p>
            <w:pPr>
              <w:tabs>
                <w:tab w:val="left" w:pos="0"/>
              </w:tabs>
              <w:adjustRightInd w:val="0"/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2785" w:type="dxa"/>
            <w:vAlign w:val="center"/>
          </w:tcPr>
          <w:p>
            <w:pPr>
              <w:tabs>
                <w:tab w:val="left" w:pos="0"/>
              </w:tabs>
              <w:adjustRightInd w:val="0"/>
              <w:spacing w:line="480" w:lineRule="auto"/>
              <w:jc w:val="both"/>
              <w:rPr>
                <w:rFonts w:hint="default" w:ascii="仿宋_GB2312" w:hAnsi="仿宋_GB2312" w:eastAsia="仿宋_GB2312" w:cs="仿宋_GB2312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lang w:val="en-US" w:eastAsia="zh-CN"/>
              </w:rPr>
              <w:t>...</w:t>
            </w:r>
          </w:p>
        </w:tc>
        <w:tc>
          <w:tcPr>
            <w:tcW w:w="1365" w:type="dxa"/>
            <w:vAlign w:val="center"/>
          </w:tcPr>
          <w:p>
            <w:pPr>
              <w:tabs>
                <w:tab w:val="left" w:pos="0"/>
              </w:tabs>
              <w:adjustRightInd w:val="0"/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tabs>
                <w:tab w:val="left" w:pos="0"/>
              </w:tabs>
              <w:adjustRightInd w:val="0"/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020" w:type="dxa"/>
            <w:vAlign w:val="center"/>
          </w:tcPr>
          <w:p>
            <w:pPr>
              <w:tabs>
                <w:tab w:val="left" w:pos="0"/>
              </w:tabs>
              <w:adjustRightInd w:val="0"/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380" w:type="dxa"/>
            <w:vAlign w:val="center"/>
          </w:tcPr>
          <w:p>
            <w:pPr>
              <w:tabs>
                <w:tab w:val="left" w:pos="0"/>
              </w:tabs>
              <w:adjustRightInd w:val="0"/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</w:tbl>
    <w:p>
      <w:pPr>
        <w:spacing w:line="590" w:lineRule="exact"/>
        <w:ind w:firstLine="0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</w:pPr>
      <w:bookmarkStart w:id="0" w:name="_GoBack"/>
      <w:bookmarkEnd w:id="0"/>
    </w:p>
    <w:sectPr>
      <w:pgSz w:w="16838" w:h="11906" w:orient="landscape"/>
      <w:pgMar w:top="2098" w:right="1474" w:bottom="124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g4NDcwMzdmOWM3YjA2MDM3OTE5YmE3YTM4ZGE1YTIifQ=="/>
  </w:docVars>
  <w:rsids>
    <w:rsidRoot w:val="7DC565E6"/>
    <w:rsid w:val="000851BD"/>
    <w:rsid w:val="00230516"/>
    <w:rsid w:val="006C0C4F"/>
    <w:rsid w:val="014A7785"/>
    <w:rsid w:val="016420D2"/>
    <w:rsid w:val="017524ED"/>
    <w:rsid w:val="018D1532"/>
    <w:rsid w:val="01A9404B"/>
    <w:rsid w:val="021A67AC"/>
    <w:rsid w:val="02357ED1"/>
    <w:rsid w:val="024664CF"/>
    <w:rsid w:val="02555BED"/>
    <w:rsid w:val="02621845"/>
    <w:rsid w:val="026D545C"/>
    <w:rsid w:val="027E7F14"/>
    <w:rsid w:val="02B11ABD"/>
    <w:rsid w:val="02B92CE9"/>
    <w:rsid w:val="02BD35D6"/>
    <w:rsid w:val="02D53C7B"/>
    <w:rsid w:val="02E57637"/>
    <w:rsid w:val="02FC43BE"/>
    <w:rsid w:val="030B7354"/>
    <w:rsid w:val="030D1E82"/>
    <w:rsid w:val="03337139"/>
    <w:rsid w:val="03673E41"/>
    <w:rsid w:val="037F659C"/>
    <w:rsid w:val="03E26F34"/>
    <w:rsid w:val="03E9297E"/>
    <w:rsid w:val="03FF4BE6"/>
    <w:rsid w:val="047132F9"/>
    <w:rsid w:val="04C97C67"/>
    <w:rsid w:val="04CB576B"/>
    <w:rsid w:val="059417BF"/>
    <w:rsid w:val="05BB037C"/>
    <w:rsid w:val="05CA4810"/>
    <w:rsid w:val="05DC6661"/>
    <w:rsid w:val="061923DF"/>
    <w:rsid w:val="068C14B1"/>
    <w:rsid w:val="06B0153B"/>
    <w:rsid w:val="06B47B7A"/>
    <w:rsid w:val="07396D1E"/>
    <w:rsid w:val="073C35CC"/>
    <w:rsid w:val="0768285C"/>
    <w:rsid w:val="077C3671"/>
    <w:rsid w:val="077F023C"/>
    <w:rsid w:val="0787234E"/>
    <w:rsid w:val="07C95518"/>
    <w:rsid w:val="07DD0A88"/>
    <w:rsid w:val="07F56446"/>
    <w:rsid w:val="07F86A9F"/>
    <w:rsid w:val="081A582D"/>
    <w:rsid w:val="08722F91"/>
    <w:rsid w:val="0894177F"/>
    <w:rsid w:val="089F1913"/>
    <w:rsid w:val="08CC7E11"/>
    <w:rsid w:val="08EA024B"/>
    <w:rsid w:val="08EE2FB9"/>
    <w:rsid w:val="08F375E3"/>
    <w:rsid w:val="090D654A"/>
    <w:rsid w:val="09500467"/>
    <w:rsid w:val="09B8113C"/>
    <w:rsid w:val="09C214E6"/>
    <w:rsid w:val="0A4A228D"/>
    <w:rsid w:val="0A743148"/>
    <w:rsid w:val="0A7475B2"/>
    <w:rsid w:val="0A776E44"/>
    <w:rsid w:val="0A8121E6"/>
    <w:rsid w:val="0AB80134"/>
    <w:rsid w:val="0AC763F0"/>
    <w:rsid w:val="0AF423B0"/>
    <w:rsid w:val="0B1679EF"/>
    <w:rsid w:val="0B2675AD"/>
    <w:rsid w:val="0B814B1A"/>
    <w:rsid w:val="0BAE4EF5"/>
    <w:rsid w:val="0BCE2151"/>
    <w:rsid w:val="0BF2005F"/>
    <w:rsid w:val="0BFF407B"/>
    <w:rsid w:val="0C087B29"/>
    <w:rsid w:val="0C7274E4"/>
    <w:rsid w:val="0C84636C"/>
    <w:rsid w:val="0CA22898"/>
    <w:rsid w:val="0CBC3618"/>
    <w:rsid w:val="0CC57C28"/>
    <w:rsid w:val="0CF053E8"/>
    <w:rsid w:val="0CF625EE"/>
    <w:rsid w:val="0D096305"/>
    <w:rsid w:val="0D330680"/>
    <w:rsid w:val="0D94228D"/>
    <w:rsid w:val="0D99028B"/>
    <w:rsid w:val="0DA31C37"/>
    <w:rsid w:val="0DF1743D"/>
    <w:rsid w:val="0E080DF4"/>
    <w:rsid w:val="0E222EFE"/>
    <w:rsid w:val="0E63437B"/>
    <w:rsid w:val="0E710B2E"/>
    <w:rsid w:val="0E7913A2"/>
    <w:rsid w:val="0E7C488F"/>
    <w:rsid w:val="0E8E5623"/>
    <w:rsid w:val="0E9E0A3A"/>
    <w:rsid w:val="0EB4623E"/>
    <w:rsid w:val="0ECE7A65"/>
    <w:rsid w:val="0F372045"/>
    <w:rsid w:val="0F39132E"/>
    <w:rsid w:val="0F3E2577"/>
    <w:rsid w:val="0F620A8B"/>
    <w:rsid w:val="0F7D5288"/>
    <w:rsid w:val="0F803A88"/>
    <w:rsid w:val="0F843421"/>
    <w:rsid w:val="0F9203C0"/>
    <w:rsid w:val="0FD56BE6"/>
    <w:rsid w:val="10016AA7"/>
    <w:rsid w:val="10533B27"/>
    <w:rsid w:val="109B2EF3"/>
    <w:rsid w:val="110753F0"/>
    <w:rsid w:val="110961CE"/>
    <w:rsid w:val="110E5AA6"/>
    <w:rsid w:val="113924E5"/>
    <w:rsid w:val="11565F4F"/>
    <w:rsid w:val="11606509"/>
    <w:rsid w:val="11A7668F"/>
    <w:rsid w:val="11B45037"/>
    <w:rsid w:val="11CC05D3"/>
    <w:rsid w:val="11F25515"/>
    <w:rsid w:val="11FD69C8"/>
    <w:rsid w:val="12043B00"/>
    <w:rsid w:val="123A7492"/>
    <w:rsid w:val="126F369C"/>
    <w:rsid w:val="127A6663"/>
    <w:rsid w:val="1294648D"/>
    <w:rsid w:val="12976880"/>
    <w:rsid w:val="12F577ED"/>
    <w:rsid w:val="13867E8C"/>
    <w:rsid w:val="13D066EC"/>
    <w:rsid w:val="14464526"/>
    <w:rsid w:val="144B2FDF"/>
    <w:rsid w:val="14556880"/>
    <w:rsid w:val="14682193"/>
    <w:rsid w:val="146F2BCF"/>
    <w:rsid w:val="147E6182"/>
    <w:rsid w:val="14B45F35"/>
    <w:rsid w:val="14BC56D7"/>
    <w:rsid w:val="153A5775"/>
    <w:rsid w:val="154D1B4B"/>
    <w:rsid w:val="15663C94"/>
    <w:rsid w:val="156A18FC"/>
    <w:rsid w:val="156F3A87"/>
    <w:rsid w:val="158275B4"/>
    <w:rsid w:val="15A33B21"/>
    <w:rsid w:val="161621C5"/>
    <w:rsid w:val="16195780"/>
    <w:rsid w:val="161B3B6B"/>
    <w:rsid w:val="170D5B63"/>
    <w:rsid w:val="172501D6"/>
    <w:rsid w:val="172720AF"/>
    <w:rsid w:val="17730B9F"/>
    <w:rsid w:val="1787498B"/>
    <w:rsid w:val="17AF1D00"/>
    <w:rsid w:val="17B13D90"/>
    <w:rsid w:val="17F36B85"/>
    <w:rsid w:val="18140F44"/>
    <w:rsid w:val="18516645"/>
    <w:rsid w:val="185F7B8F"/>
    <w:rsid w:val="18675B95"/>
    <w:rsid w:val="187506E7"/>
    <w:rsid w:val="18B429CE"/>
    <w:rsid w:val="18D43F0C"/>
    <w:rsid w:val="18F92190"/>
    <w:rsid w:val="19155FD9"/>
    <w:rsid w:val="19381D61"/>
    <w:rsid w:val="19430D11"/>
    <w:rsid w:val="194E21D5"/>
    <w:rsid w:val="19B1412F"/>
    <w:rsid w:val="19B158A1"/>
    <w:rsid w:val="19C83DAE"/>
    <w:rsid w:val="19CA49A4"/>
    <w:rsid w:val="1A1B34A2"/>
    <w:rsid w:val="1A3671FE"/>
    <w:rsid w:val="1A5242E9"/>
    <w:rsid w:val="1A73408F"/>
    <w:rsid w:val="1A782F27"/>
    <w:rsid w:val="1AB12B51"/>
    <w:rsid w:val="1AB17FC7"/>
    <w:rsid w:val="1B1E0021"/>
    <w:rsid w:val="1B681B9F"/>
    <w:rsid w:val="1B7764C7"/>
    <w:rsid w:val="1B8720F9"/>
    <w:rsid w:val="1BAB3C3C"/>
    <w:rsid w:val="1BB045A0"/>
    <w:rsid w:val="1BC537C0"/>
    <w:rsid w:val="1BE35E10"/>
    <w:rsid w:val="1BE722E1"/>
    <w:rsid w:val="1C0406FB"/>
    <w:rsid w:val="1C1A6BC3"/>
    <w:rsid w:val="1C6A38F6"/>
    <w:rsid w:val="1CBA0432"/>
    <w:rsid w:val="1CC3796F"/>
    <w:rsid w:val="1CCB647F"/>
    <w:rsid w:val="1D4455D3"/>
    <w:rsid w:val="1D6125C2"/>
    <w:rsid w:val="1D950809"/>
    <w:rsid w:val="1D9E6CAF"/>
    <w:rsid w:val="1DB73A79"/>
    <w:rsid w:val="1E010FC6"/>
    <w:rsid w:val="1E090C8F"/>
    <w:rsid w:val="1E787788"/>
    <w:rsid w:val="1E944BF5"/>
    <w:rsid w:val="1EA15B00"/>
    <w:rsid w:val="1EA57F7B"/>
    <w:rsid w:val="1EC426E5"/>
    <w:rsid w:val="1EF10768"/>
    <w:rsid w:val="1EF17EA7"/>
    <w:rsid w:val="1EFE68FA"/>
    <w:rsid w:val="1EFF48D8"/>
    <w:rsid w:val="1F097D22"/>
    <w:rsid w:val="1F0C19EC"/>
    <w:rsid w:val="1F461CA2"/>
    <w:rsid w:val="1F6E36CA"/>
    <w:rsid w:val="1F914878"/>
    <w:rsid w:val="1F962D9F"/>
    <w:rsid w:val="1FBE2762"/>
    <w:rsid w:val="1FDF7547"/>
    <w:rsid w:val="1FFE78C5"/>
    <w:rsid w:val="2015776A"/>
    <w:rsid w:val="204E78AE"/>
    <w:rsid w:val="207316B7"/>
    <w:rsid w:val="209C5447"/>
    <w:rsid w:val="20B06F8C"/>
    <w:rsid w:val="20BF2536"/>
    <w:rsid w:val="212C356E"/>
    <w:rsid w:val="215F3393"/>
    <w:rsid w:val="21681834"/>
    <w:rsid w:val="21CF69E0"/>
    <w:rsid w:val="22113F2B"/>
    <w:rsid w:val="22326221"/>
    <w:rsid w:val="22B8513A"/>
    <w:rsid w:val="22DA6763"/>
    <w:rsid w:val="22FE5AA9"/>
    <w:rsid w:val="230338E7"/>
    <w:rsid w:val="234664AD"/>
    <w:rsid w:val="238D5340"/>
    <w:rsid w:val="23B00100"/>
    <w:rsid w:val="23BE4416"/>
    <w:rsid w:val="23D25F5A"/>
    <w:rsid w:val="23DE1CBC"/>
    <w:rsid w:val="23EE764D"/>
    <w:rsid w:val="245D4D71"/>
    <w:rsid w:val="24DC6731"/>
    <w:rsid w:val="24E25F88"/>
    <w:rsid w:val="2528130A"/>
    <w:rsid w:val="25657081"/>
    <w:rsid w:val="2576656E"/>
    <w:rsid w:val="259F1124"/>
    <w:rsid w:val="25AF0E01"/>
    <w:rsid w:val="25D12759"/>
    <w:rsid w:val="2690097A"/>
    <w:rsid w:val="26A15117"/>
    <w:rsid w:val="26B045FC"/>
    <w:rsid w:val="26FB7689"/>
    <w:rsid w:val="272F3678"/>
    <w:rsid w:val="27405928"/>
    <w:rsid w:val="278049A8"/>
    <w:rsid w:val="27BF6D94"/>
    <w:rsid w:val="27CB1892"/>
    <w:rsid w:val="27D35361"/>
    <w:rsid w:val="27DC5AD7"/>
    <w:rsid w:val="27EC4FA9"/>
    <w:rsid w:val="28202412"/>
    <w:rsid w:val="28260A4F"/>
    <w:rsid w:val="28437BC6"/>
    <w:rsid w:val="28790FBA"/>
    <w:rsid w:val="28797A5D"/>
    <w:rsid w:val="28AF1F15"/>
    <w:rsid w:val="28B2041B"/>
    <w:rsid w:val="28BF27B2"/>
    <w:rsid w:val="28F078F6"/>
    <w:rsid w:val="29063F09"/>
    <w:rsid w:val="292E32CB"/>
    <w:rsid w:val="29436F86"/>
    <w:rsid w:val="29BC1615"/>
    <w:rsid w:val="2A2F5B0E"/>
    <w:rsid w:val="2A346D44"/>
    <w:rsid w:val="2A383E60"/>
    <w:rsid w:val="2A595D49"/>
    <w:rsid w:val="2A8957CB"/>
    <w:rsid w:val="2A9B40FD"/>
    <w:rsid w:val="2AA1146E"/>
    <w:rsid w:val="2AEA7CF6"/>
    <w:rsid w:val="2B0D3179"/>
    <w:rsid w:val="2B2377A1"/>
    <w:rsid w:val="2B387866"/>
    <w:rsid w:val="2B5C486E"/>
    <w:rsid w:val="2BB538CC"/>
    <w:rsid w:val="2BDF1AA6"/>
    <w:rsid w:val="2BF1025F"/>
    <w:rsid w:val="2C2229B1"/>
    <w:rsid w:val="2C2A25D1"/>
    <w:rsid w:val="2C2C18FD"/>
    <w:rsid w:val="2C9449B4"/>
    <w:rsid w:val="2CAB29BD"/>
    <w:rsid w:val="2CC86689"/>
    <w:rsid w:val="2CCF0BAC"/>
    <w:rsid w:val="2D224580"/>
    <w:rsid w:val="2D27616D"/>
    <w:rsid w:val="2D5C48F5"/>
    <w:rsid w:val="2D8977F6"/>
    <w:rsid w:val="2D957EC0"/>
    <w:rsid w:val="2DA87079"/>
    <w:rsid w:val="2DE340FD"/>
    <w:rsid w:val="2E064C53"/>
    <w:rsid w:val="2E080B5D"/>
    <w:rsid w:val="2E184249"/>
    <w:rsid w:val="2E1B708D"/>
    <w:rsid w:val="2E210C2D"/>
    <w:rsid w:val="2E357097"/>
    <w:rsid w:val="2E456CA6"/>
    <w:rsid w:val="2EB12BFC"/>
    <w:rsid w:val="2EC76086"/>
    <w:rsid w:val="2EE81359"/>
    <w:rsid w:val="2EF45129"/>
    <w:rsid w:val="2F00484F"/>
    <w:rsid w:val="2F1742AE"/>
    <w:rsid w:val="2F211D69"/>
    <w:rsid w:val="2F2B1695"/>
    <w:rsid w:val="2F754DE3"/>
    <w:rsid w:val="2F9F0E5A"/>
    <w:rsid w:val="2FD140D4"/>
    <w:rsid w:val="309B3AA2"/>
    <w:rsid w:val="30C328C2"/>
    <w:rsid w:val="30C910F4"/>
    <w:rsid w:val="30CF2911"/>
    <w:rsid w:val="31095429"/>
    <w:rsid w:val="311F5A45"/>
    <w:rsid w:val="31A376D4"/>
    <w:rsid w:val="31F76F68"/>
    <w:rsid w:val="32306CD4"/>
    <w:rsid w:val="328D6E95"/>
    <w:rsid w:val="32A122F7"/>
    <w:rsid w:val="32BD0E12"/>
    <w:rsid w:val="32E968B3"/>
    <w:rsid w:val="32E97A4E"/>
    <w:rsid w:val="32F26516"/>
    <w:rsid w:val="333F4E6D"/>
    <w:rsid w:val="335F7331"/>
    <w:rsid w:val="33685995"/>
    <w:rsid w:val="3399346A"/>
    <w:rsid w:val="33C96800"/>
    <w:rsid w:val="33D814A9"/>
    <w:rsid w:val="33E91AAD"/>
    <w:rsid w:val="342173CF"/>
    <w:rsid w:val="343B6AD4"/>
    <w:rsid w:val="345B37E1"/>
    <w:rsid w:val="345D32E2"/>
    <w:rsid w:val="346D5C65"/>
    <w:rsid w:val="34834F6A"/>
    <w:rsid w:val="34BF14A1"/>
    <w:rsid w:val="34CD011C"/>
    <w:rsid w:val="34D110F2"/>
    <w:rsid w:val="34DB7C72"/>
    <w:rsid w:val="353A0CC1"/>
    <w:rsid w:val="353C5487"/>
    <w:rsid w:val="355C5663"/>
    <w:rsid w:val="35BA715D"/>
    <w:rsid w:val="35E56225"/>
    <w:rsid w:val="362E5063"/>
    <w:rsid w:val="3662788A"/>
    <w:rsid w:val="36E72B53"/>
    <w:rsid w:val="36E97336"/>
    <w:rsid w:val="36F3103D"/>
    <w:rsid w:val="370873B2"/>
    <w:rsid w:val="37150458"/>
    <w:rsid w:val="371619DD"/>
    <w:rsid w:val="373C63F2"/>
    <w:rsid w:val="377C500E"/>
    <w:rsid w:val="378478D4"/>
    <w:rsid w:val="37990142"/>
    <w:rsid w:val="379E0502"/>
    <w:rsid w:val="37D55B32"/>
    <w:rsid w:val="37FA3467"/>
    <w:rsid w:val="37FB503A"/>
    <w:rsid w:val="38080251"/>
    <w:rsid w:val="385F58D9"/>
    <w:rsid w:val="387F0201"/>
    <w:rsid w:val="38AA319C"/>
    <w:rsid w:val="390B42C3"/>
    <w:rsid w:val="39451584"/>
    <w:rsid w:val="39AA2C1C"/>
    <w:rsid w:val="39AF02BD"/>
    <w:rsid w:val="39BF522A"/>
    <w:rsid w:val="39DF2185"/>
    <w:rsid w:val="3A0D48FA"/>
    <w:rsid w:val="3A3C1465"/>
    <w:rsid w:val="3A3F0E68"/>
    <w:rsid w:val="3A61663A"/>
    <w:rsid w:val="3A9150E7"/>
    <w:rsid w:val="3AAF2D58"/>
    <w:rsid w:val="3AB1099B"/>
    <w:rsid w:val="3AC42E06"/>
    <w:rsid w:val="3AEA55F3"/>
    <w:rsid w:val="3B02041E"/>
    <w:rsid w:val="3B1E0BAB"/>
    <w:rsid w:val="3B346839"/>
    <w:rsid w:val="3B3C2D95"/>
    <w:rsid w:val="3B557BDB"/>
    <w:rsid w:val="3B8B1F1F"/>
    <w:rsid w:val="3B952D3C"/>
    <w:rsid w:val="3B995971"/>
    <w:rsid w:val="3BD61DA2"/>
    <w:rsid w:val="3BEB23DC"/>
    <w:rsid w:val="3C2D7E36"/>
    <w:rsid w:val="3C382459"/>
    <w:rsid w:val="3C427A89"/>
    <w:rsid w:val="3C9E2056"/>
    <w:rsid w:val="3CE84691"/>
    <w:rsid w:val="3CEC514A"/>
    <w:rsid w:val="3D161003"/>
    <w:rsid w:val="3D1851BA"/>
    <w:rsid w:val="3D47009B"/>
    <w:rsid w:val="3D7C5752"/>
    <w:rsid w:val="3E0607A7"/>
    <w:rsid w:val="3E233AB0"/>
    <w:rsid w:val="3E3733A8"/>
    <w:rsid w:val="3E4455BD"/>
    <w:rsid w:val="3EA86F2F"/>
    <w:rsid w:val="3F463FDE"/>
    <w:rsid w:val="3F5E2885"/>
    <w:rsid w:val="3F94248A"/>
    <w:rsid w:val="3F9D10D5"/>
    <w:rsid w:val="3FF10783"/>
    <w:rsid w:val="40291DC9"/>
    <w:rsid w:val="40372956"/>
    <w:rsid w:val="408B4DBB"/>
    <w:rsid w:val="410F648C"/>
    <w:rsid w:val="411F0306"/>
    <w:rsid w:val="41204BAE"/>
    <w:rsid w:val="412643B4"/>
    <w:rsid w:val="414076F3"/>
    <w:rsid w:val="41526CCA"/>
    <w:rsid w:val="41AD643B"/>
    <w:rsid w:val="41D41098"/>
    <w:rsid w:val="42310A70"/>
    <w:rsid w:val="42424713"/>
    <w:rsid w:val="42797E41"/>
    <w:rsid w:val="42D231F2"/>
    <w:rsid w:val="43245125"/>
    <w:rsid w:val="433900E7"/>
    <w:rsid w:val="43724F33"/>
    <w:rsid w:val="439B0FF8"/>
    <w:rsid w:val="43D27B59"/>
    <w:rsid w:val="440A7608"/>
    <w:rsid w:val="4421525F"/>
    <w:rsid w:val="44401093"/>
    <w:rsid w:val="44477BEF"/>
    <w:rsid w:val="446D0416"/>
    <w:rsid w:val="448D68AB"/>
    <w:rsid w:val="44B05520"/>
    <w:rsid w:val="44BF1AAE"/>
    <w:rsid w:val="44CA25E1"/>
    <w:rsid w:val="44D13AB0"/>
    <w:rsid w:val="44F90497"/>
    <w:rsid w:val="450077CE"/>
    <w:rsid w:val="45330C14"/>
    <w:rsid w:val="453A60A3"/>
    <w:rsid w:val="453D2AE8"/>
    <w:rsid w:val="45431E34"/>
    <w:rsid w:val="45770FCF"/>
    <w:rsid w:val="4582494E"/>
    <w:rsid w:val="45B31731"/>
    <w:rsid w:val="45CE74CC"/>
    <w:rsid w:val="45FF751A"/>
    <w:rsid w:val="46164EE7"/>
    <w:rsid w:val="46196BF1"/>
    <w:rsid w:val="4660178D"/>
    <w:rsid w:val="4688388F"/>
    <w:rsid w:val="46897ECF"/>
    <w:rsid w:val="46C40CD7"/>
    <w:rsid w:val="46FE6A0D"/>
    <w:rsid w:val="471C1F59"/>
    <w:rsid w:val="47243CF4"/>
    <w:rsid w:val="474735DA"/>
    <w:rsid w:val="475911D8"/>
    <w:rsid w:val="477E31AF"/>
    <w:rsid w:val="47A61C33"/>
    <w:rsid w:val="47AD57F7"/>
    <w:rsid w:val="47C379D6"/>
    <w:rsid w:val="47CE1E7B"/>
    <w:rsid w:val="480E159F"/>
    <w:rsid w:val="48380C37"/>
    <w:rsid w:val="48707B22"/>
    <w:rsid w:val="487D5CD9"/>
    <w:rsid w:val="48A97380"/>
    <w:rsid w:val="48CC0140"/>
    <w:rsid w:val="48E44FF4"/>
    <w:rsid w:val="493950D2"/>
    <w:rsid w:val="49A22845"/>
    <w:rsid w:val="49A32E49"/>
    <w:rsid w:val="4A0961FD"/>
    <w:rsid w:val="4A4312EC"/>
    <w:rsid w:val="4A4440E8"/>
    <w:rsid w:val="4A884E72"/>
    <w:rsid w:val="4A9041DE"/>
    <w:rsid w:val="4AA7115E"/>
    <w:rsid w:val="4AAE6D69"/>
    <w:rsid w:val="4ADF393B"/>
    <w:rsid w:val="4AE77C7A"/>
    <w:rsid w:val="4B1947FD"/>
    <w:rsid w:val="4B206DAC"/>
    <w:rsid w:val="4B653A18"/>
    <w:rsid w:val="4BAD4D57"/>
    <w:rsid w:val="4BBA2644"/>
    <w:rsid w:val="4BD63F09"/>
    <w:rsid w:val="4BE9182B"/>
    <w:rsid w:val="4BF2489B"/>
    <w:rsid w:val="4BFC0D1D"/>
    <w:rsid w:val="4C1B1213"/>
    <w:rsid w:val="4C227041"/>
    <w:rsid w:val="4C2B379A"/>
    <w:rsid w:val="4C3E0894"/>
    <w:rsid w:val="4C61702C"/>
    <w:rsid w:val="4C867FCE"/>
    <w:rsid w:val="4C8B6CBA"/>
    <w:rsid w:val="4CA32364"/>
    <w:rsid w:val="4CCB683A"/>
    <w:rsid w:val="4CDF230A"/>
    <w:rsid w:val="4D165DDD"/>
    <w:rsid w:val="4D323311"/>
    <w:rsid w:val="4D335E8E"/>
    <w:rsid w:val="4D4260EA"/>
    <w:rsid w:val="4DA671A6"/>
    <w:rsid w:val="4E007344"/>
    <w:rsid w:val="4E4B2E50"/>
    <w:rsid w:val="4E677622"/>
    <w:rsid w:val="4EA2368C"/>
    <w:rsid w:val="4F5316D1"/>
    <w:rsid w:val="4F5A4E43"/>
    <w:rsid w:val="4FA92A32"/>
    <w:rsid w:val="4FAB648A"/>
    <w:rsid w:val="4FBD48A7"/>
    <w:rsid w:val="4FF00198"/>
    <w:rsid w:val="4FF91CE5"/>
    <w:rsid w:val="503D35AF"/>
    <w:rsid w:val="504D60DE"/>
    <w:rsid w:val="50546D10"/>
    <w:rsid w:val="506969BB"/>
    <w:rsid w:val="508C3EE4"/>
    <w:rsid w:val="50946ED0"/>
    <w:rsid w:val="50CC58AE"/>
    <w:rsid w:val="50D41013"/>
    <w:rsid w:val="51130F01"/>
    <w:rsid w:val="512C6A42"/>
    <w:rsid w:val="515F0EC5"/>
    <w:rsid w:val="517E7942"/>
    <w:rsid w:val="51DA164E"/>
    <w:rsid w:val="52541F5E"/>
    <w:rsid w:val="5272092B"/>
    <w:rsid w:val="528C7410"/>
    <w:rsid w:val="529111A7"/>
    <w:rsid w:val="529303FA"/>
    <w:rsid w:val="52A94364"/>
    <w:rsid w:val="52B114E9"/>
    <w:rsid w:val="52DC5711"/>
    <w:rsid w:val="52F76BFE"/>
    <w:rsid w:val="52FD5973"/>
    <w:rsid w:val="52FE0ED3"/>
    <w:rsid w:val="530F2060"/>
    <w:rsid w:val="534D42D0"/>
    <w:rsid w:val="53667197"/>
    <w:rsid w:val="53B44080"/>
    <w:rsid w:val="53C0640F"/>
    <w:rsid w:val="53C150A9"/>
    <w:rsid w:val="53CB5015"/>
    <w:rsid w:val="53EE6CE7"/>
    <w:rsid w:val="5453700D"/>
    <w:rsid w:val="54A04708"/>
    <w:rsid w:val="54AE3DB5"/>
    <w:rsid w:val="54B1500A"/>
    <w:rsid w:val="54BA1E81"/>
    <w:rsid w:val="54CF275E"/>
    <w:rsid w:val="54F54090"/>
    <w:rsid w:val="54F9218E"/>
    <w:rsid w:val="55134DB3"/>
    <w:rsid w:val="55660C47"/>
    <w:rsid w:val="559737EE"/>
    <w:rsid w:val="55B15DC3"/>
    <w:rsid w:val="55D85822"/>
    <w:rsid w:val="55F30147"/>
    <w:rsid w:val="56242A95"/>
    <w:rsid w:val="56443E59"/>
    <w:rsid w:val="56572A1A"/>
    <w:rsid w:val="567C6B00"/>
    <w:rsid w:val="56A86990"/>
    <w:rsid w:val="56B809C8"/>
    <w:rsid w:val="56BA2FCE"/>
    <w:rsid w:val="56CF40A2"/>
    <w:rsid w:val="56E301F3"/>
    <w:rsid w:val="57243A56"/>
    <w:rsid w:val="57795056"/>
    <w:rsid w:val="57BD5571"/>
    <w:rsid w:val="57C66E99"/>
    <w:rsid w:val="57CF7A3B"/>
    <w:rsid w:val="57D92A08"/>
    <w:rsid w:val="582015B3"/>
    <w:rsid w:val="582A2E12"/>
    <w:rsid w:val="58641C19"/>
    <w:rsid w:val="58883DC2"/>
    <w:rsid w:val="58BA2AE7"/>
    <w:rsid w:val="58C04E4F"/>
    <w:rsid w:val="58D70B62"/>
    <w:rsid w:val="58E16CF4"/>
    <w:rsid w:val="59241D87"/>
    <w:rsid w:val="592B2E0B"/>
    <w:rsid w:val="5932681E"/>
    <w:rsid w:val="59394BEA"/>
    <w:rsid w:val="595E5611"/>
    <w:rsid w:val="598D531B"/>
    <w:rsid w:val="59CA2689"/>
    <w:rsid w:val="59FC2F7E"/>
    <w:rsid w:val="5A192EA2"/>
    <w:rsid w:val="5A296348"/>
    <w:rsid w:val="5A314B51"/>
    <w:rsid w:val="5A36115D"/>
    <w:rsid w:val="5A5D1D19"/>
    <w:rsid w:val="5A5D42B6"/>
    <w:rsid w:val="5A896B1C"/>
    <w:rsid w:val="5A8B1F91"/>
    <w:rsid w:val="5AAF5397"/>
    <w:rsid w:val="5AC677FA"/>
    <w:rsid w:val="5ACE2280"/>
    <w:rsid w:val="5AEF4566"/>
    <w:rsid w:val="5B0E62F4"/>
    <w:rsid w:val="5B584CDB"/>
    <w:rsid w:val="5B65264B"/>
    <w:rsid w:val="5B892BD0"/>
    <w:rsid w:val="5BC97F5D"/>
    <w:rsid w:val="5BD117A0"/>
    <w:rsid w:val="5C096B18"/>
    <w:rsid w:val="5C1511F7"/>
    <w:rsid w:val="5C2C717B"/>
    <w:rsid w:val="5C7167D3"/>
    <w:rsid w:val="5C734147"/>
    <w:rsid w:val="5C8614CC"/>
    <w:rsid w:val="5C8A4DE5"/>
    <w:rsid w:val="5CF716C4"/>
    <w:rsid w:val="5D153A45"/>
    <w:rsid w:val="5D3C4A77"/>
    <w:rsid w:val="5D40124D"/>
    <w:rsid w:val="5D5D79E0"/>
    <w:rsid w:val="5D6516D6"/>
    <w:rsid w:val="5D705EAE"/>
    <w:rsid w:val="5D821A98"/>
    <w:rsid w:val="5DCE0B38"/>
    <w:rsid w:val="5DE26DCB"/>
    <w:rsid w:val="5E0B302C"/>
    <w:rsid w:val="5E185CFC"/>
    <w:rsid w:val="5E3235EB"/>
    <w:rsid w:val="5E934FB7"/>
    <w:rsid w:val="5E9E04FD"/>
    <w:rsid w:val="5ED71205"/>
    <w:rsid w:val="5ED94044"/>
    <w:rsid w:val="5F610626"/>
    <w:rsid w:val="5F665D8B"/>
    <w:rsid w:val="5F6E49E0"/>
    <w:rsid w:val="5F873C25"/>
    <w:rsid w:val="5F9B7F0A"/>
    <w:rsid w:val="5FAE55DB"/>
    <w:rsid w:val="5FC35043"/>
    <w:rsid w:val="5FF90931"/>
    <w:rsid w:val="5FFD1AFF"/>
    <w:rsid w:val="5FFD4219"/>
    <w:rsid w:val="60046526"/>
    <w:rsid w:val="600D1A3B"/>
    <w:rsid w:val="6042037A"/>
    <w:rsid w:val="605F213C"/>
    <w:rsid w:val="6084607C"/>
    <w:rsid w:val="6087660C"/>
    <w:rsid w:val="60983D23"/>
    <w:rsid w:val="60A42AEB"/>
    <w:rsid w:val="613149ED"/>
    <w:rsid w:val="616E61AE"/>
    <w:rsid w:val="618F1D72"/>
    <w:rsid w:val="61905B67"/>
    <w:rsid w:val="61934413"/>
    <w:rsid w:val="61A9334F"/>
    <w:rsid w:val="61BA3EBC"/>
    <w:rsid w:val="61C778E4"/>
    <w:rsid w:val="623C3F54"/>
    <w:rsid w:val="624D7EB9"/>
    <w:rsid w:val="62631082"/>
    <w:rsid w:val="62651D60"/>
    <w:rsid w:val="627353A2"/>
    <w:rsid w:val="62A00EF2"/>
    <w:rsid w:val="62AB42C7"/>
    <w:rsid w:val="62B04E21"/>
    <w:rsid w:val="62B16FBD"/>
    <w:rsid w:val="62D22EDB"/>
    <w:rsid w:val="62F3615A"/>
    <w:rsid w:val="630D156B"/>
    <w:rsid w:val="6321131A"/>
    <w:rsid w:val="637A6ABA"/>
    <w:rsid w:val="63961C17"/>
    <w:rsid w:val="63CB6C77"/>
    <w:rsid w:val="63ED7A52"/>
    <w:rsid w:val="640000DE"/>
    <w:rsid w:val="640C53B2"/>
    <w:rsid w:val="64243C73"/>
    <w:rsid w:val="64842BA8"/>
    <w:rsid w:val="64B01A41"/>
    <w:rsid w:val="64BB17C8"/>
    <w:rsid w:val="64BF72A1"/>
    <w:rsid w:val="64C520D5"/>
    <w:rsid w:val="64DB65C6"/>
    <w:rsid w:val="64F53665"/>
    <w:rsid w:val="6538158B"/>
    <w:rsid w:val="65490FAE"/>
    <w:rsid w:val="655C55EA"/>
    <w:rsid w:val="656022E2"/>
    <w:rsid w:val="658F2286"/>
    <w:rsid w:val="65917DC6"/>
    <w:rsid w:val="65AE0D84"/>
    <w:rsid w:val="65C307F9"/>
    <w:rsid w:val="65CA4975"/>
    <w:rsid w:val="66430111"/>
    <w:rsid w:val="66871C30"/>
    <w:rsid w:val="66A22799"/>
    <w:rsid w:val="66A25218"/>
    <w:rsid w:val="66A97A90"/>
    <w:rsid w:val="66B118AF"/>
    <w:rsid w:val="66E9773A"/>
    <w:rsid w:val="66ED4E0E"/>
    <w:rsid w:val="66FD764B"/>
    <w:rsid w:val="67012D38"/>
    <w:rsid w:val="678A1C90"/>
    <w:rsid w:val="67B3726A"/>
    <w:rsid w:val="67C74C6F"/>
    <w:rsid w:val="67D377B2"/>
    <w:rsid w:val="67D40B9C"/>
    <w:rsid w:val="67E75790"/>
    <w:rsid w:val="67F54112"/>
    <w:rsid w:val="68387CA7"/>
    <w:rsid w:val="683E27B4"/>
    <w:rsid w:val="685A1058"/>
    <w:rsid w:val="68A00D16"/>
    <w:rsid w:val="68CE1B2E"/>
    <w:rsid w:val="69053611"/>
    <w:rsid w:val="691270F4"/>
    <w:rsid w:val="691B7C0B"/>
    <w:rsid w:val="698927BE"/>
    <w:rsid w:val="69A304B0"/>
    <w:rsid w:val="69E87DDC"/>
    <w:rsid w:val="69FB26D8"/>
    <w:rsid w:val="6A6E181A"/>
    <w:rsid w:val="6AD75A0B"/>
    <w:rsid w:val="6B0B617E"/>
    <w:rsid w:val="6B1756F3"/>
    <w:rsid w:val="6B213FAA"/>
    <w:rsid w:val="6B356791"/>
    <w:rsid w:val="6BA97D01"/>
    <w:rsid w:val="6BD6219D"/>
    <w:rsid w:val="6BD71249"/>
    <w:rsid w:val="6C196EF2"/>
    <w:rsid w:val="6C6B1868"/>
    <w:rsid w:val="6C7C277B"/>
    <w:rsid w:val="6C9713B5"/>
    <w:rsid w:val="6C9B526C"/>
    <w:rsid w:val="6CCA5651"/>
    <w:rsid w:val="6CDD4F00"/>
    <w:rsid w:val="6CEA1F05"/>
    <w:rsid w:val="6CED7318"/>
    <w:rsid w:val="6D0472EC"/>
    <w:rsid w:val="6D1C1057"/>
    <w:rsid w:val="6D1D3332"/>
    <w:rsid w:val="6D692D4E"/>
    <w:rsid w:val="6D7657E4"/>
    <w:rsid w:val="6D9537EF"/>
    <w:rsid w:val="6D9B3C1C"/>
    <w:rsid w:val="6E0A7B66"/>
    <w:rsid w:val="6E737BF8"/>
    <w:rsid w:val="6F30598A"/>
    <w:rsid w:val="6FAF19AC"/>
    <w:rsid w:val="6FDB2DC4"/>
    <w:rsid w:val="6FE34C9A"/>
    <w:rsid w:val="6FF10D06"/>
    <w:rsid w:val="700D5294"/>
    <w:rsid w:val="70341675"/>
    <w:rsid w:val="70422C4F"/>
    <w:rsid w:val="705965FA"/>
    <w:rsid w:val="70A3507F"/>
    <w:rsid w:val="70DB089C"/>
    <w:rsid w:val="70F07F68"/>
    <w:rsid w:val="70FC1175"/>
    <w:rsid w:val="71224FBF"/>
    <w:rsid w:val="715970B0"/>
    <w:rsid w:val="7192473D"/>
    <w:rsid w:val="71950F5A"/>
    <w:rsid w:val="719873FB"/>
    <w:rsid w:val="71B25E53"/>
    <w:rsid w:val="71EB382B"/>
    <w:rsid w:val="72103DEC"/>
    <w:rsid w:val="725C5032"/>
    <w:rsid w:val="726139D2"/>
    <w:rsid w:val="72643BE0"/>
    <w:rsid w:val="72776ACD"/>
    <w:rsid w:val="72861CE1"/>
    <w:rsid w:val="72870040"/>
    <w:rsid w:val="72D067E8"/>
    <w:rsid w:val="733B03C4"/>
    <w:rsid w:val="734D36E2"/>
    <w:rsid w:val="735C35AF"/>
    <w:rsid w:val="738136E3"/>
    <w:rsid w:val="73862E81"/>
    <w:rsid w:val="73AE6787"/>
    <w:rsid w:val="73C35435"/>
    <w:rsid w:val="73CA2238"/>
    <w:rsid w:val="73CD69BE"/>
    <w:rsid w:val="741336B3"/>
    <w:rsid w:val="7426592F"/>
    <w:rsid w:val="74606C3A"/>
    <w:rsid w:val="747C506E"/>
    <w:rsid w:val="748C520A"/>
    <w:rsid w:val="749503C5"/>
    <w:rsid w:val="74D82E14"/>
    <w:rsid w:val="74DE0235"/>
    <w:rsid w:val="74E15797"/>
    <w:rsid w:val="74E854C9"/>
    <w:rsid w:val="751679F2"/>
    <w:rsid w:val="754F42F5"/>
    <w:rsid w:val="755978D1"/>
    <w:rsid w:val="755B4756"/>
    <w:rsid w:val="756E0F0C"/>
    <w:rsid w:val="757F7004"/>
    <w:rsid w:val="75891A4C"/>
    <w:rsid w:val="75930FF0"/>
    <w:rsid w:val="75A52110"/>
    <w:rsid w:val="760040BD"/>
    <w:rsid w:val="760B2BEF"/>
    <w:rsid w:val="76125BE3"/>
    <w:rsid w:val="763944FD"/>
    <w:rsid w:val="76491A1D"/>
    <w:rsid w:val="765F31E8"/>
    <w:rsid w:val="76737587"/>
    <w:rsid w:val="76812AA9"/>
    <w:rsid w:val="769C5D93"/>
    <w:rsid w:val="76A010FB"/>
    <w:rsid w:val="76AB4046"/>
    <w:rsid w:val="76C63986"/>
    <w:rsid w:val="76FE5CB8"/>
    <w:rsid w:val="773F4AA7"/>
    <w:rsid w:val="7746560D"/>
    <w:rsid w:val="77625D53"/>
    <w:rsid w:val="778A2532"/>
    <w:rsid w:val="78390D19"/>
    <w:rsid w:val="784C7DCA"/>
    <w:rsid w:val="784E72F5"/>
    <w:rsid w:val="78C7580A"/>
    <w:rsid w:val="78F65080"/>
    <w:rsid w:val="79217C52"/>
    <w:rsid w:val="794C46F1"/>
    <w:rsid w:val="79605C00"/>
    <w:rsid w:val="7A4243C4"/>
    <w:rsid w:val="7A623E8E"/>
    <w:rsid w:val="7A8256CC"/>
    <w:rsid w:val="7AD81B19"/>
    <w:rsid w:val="7AEC4810"/>
    <w:rsid w:val="7AF55227"/>
    <w:rsid w:val="7B1D1463"/>
    <w:rsid w:val="7B331D48"/>
    <w:rsid w:val="7B5D1530"/>
    <w:rsid w:val="7B5D77FC"/>
    <w:rsid w:val="7B7D66A1"/>
    <w:rsid w:val="7B850977"/>
    <w:rsid w:val="7B866BA9"/>
    <w:rsid w:val="7BC60D6A"/>
    <w:rsid w:val="7BD46821"/>
    <w:rsid w:val="7BD93ECE"/>
    <w:rsid w:val="7BDD25D1"/>
    <w:rsid w:val="7BF55DDE"/>
    <w:rsid w:val="7C0E755F"/>
    <w:rsid w:val="7C20315A"/>
    <w:rsid w:val="7C2F5441"/>
    <w:rsid w:val="7C325AB5"/>
    <w:rsid w:val="7C3E1CE1"/>
    <w:rsid w:val="7C4E3C69"/>
    <w:rsid w:val="7C5B1A3B"/>
    <w:rsid w:val="7CB73BAD"/>
    <w:rsid w:val="7CE17711"/>
    <w:rsid w:val="7CE51939"/>
    <w:rsid w:val="7CE56BF9"/>
    <w:rsid w:val="7D1A7934"/>
    <w:rsid w:val="7D8C06E4"/>
    <w:rsid w:val="7D92511F"/>
    <w:rsid w:val="7DC565E6"/>
    <w:rsid w:val="7DD073EA"/>
    <w:rsid w:val="7E33196B"/>
    <w:rsid w:val="7E3B2330"/>
    <w:rsid w:val="7E513975"/>
    <w:rsid w:val="7E5C03A0"/>
    <w:rsid w:val="7EA05B73"/>
    <w:rsid w:val="7ED75C13"/>
    <w:rsid w:val="7EEE4F61"/>
    <w:rsid w:val="7F0B0AC3"/>
    <w:rsid w:val="7F0F2150"/>
    <w:rsid w:val="7F34501F"/>
    <w:rsid w:val="7F465F6F"/>
    <w:rsid w:val="7F56796E"/>
    <w:rsid w:val="7F6638F2"/>
    <w:rsid w:val="7F8D03F3"/>
    <w:rsid w:val="7F907536"/>
    <w:rsid w:val="7F9B17E1"/>
    <w:rsid w:val="7FA541F1"/>
    <w:rsid w:val="7FDF7251"/>
    <w:rsid w:val="7FF61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仿宋_GB2312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9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qFormat="1"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1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qFormat/>
    <w:uiPriority w:val="9"/>
    <w:pPr>
      <w:keepNext/>
      <w:keepLines/>
      <w:outlineLvl w:val="3"/>
    </w:pPr>
    <w:rPr>
      <w:rFonts w:cs="Times New Roman"/>
      <w:bCs/>
      <w:szCs w:val="28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left" w:pos="0"/>
      </w:tabs>
      <w:spacing w:line="240" w:lineRule="auto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left" w:pos="0"/>
      </w:tabs>
      <w:wordWrap w:val="0"/>
      <w:topLinePunct/>
      <w:spacing w:line="240" w:lineRule="auto"/>
      <w:jc w:val="center"/>
    </w:pPr>
    <w:rPr>
      <w:sz w:val="18"/>
      <w:szCs w:val="18"/>
    </w:rPr>
  </w:style>
  <w:style w:type="paragraph" w:styleId="5">
    <w:name w:val="toc 6"/>
    <w:basedOn w:val="1"/>
    <w:next w:val="1"/>
    <w:qFormat/>
    <w:uiPriority w:val="0"/>
    <w:pPr>
      <w:tabs>
        <w:tab w:val="left" w:pos="0"/>
      </w:tabs>
      <w:ind w:left="2100"/>
    </w:p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0">
    <w:name w:val="Hyperlink"/>
    <w:basedOn w:val="9"/>
    <w:qFormat/>
    <w:uiPriority w:val="0"/>
    <w:rPr>
      <w:color w:val="0000FF"/>
      <w:u w:val="single"/>
    </w:rPr>
  </w:style>
  <w:style w:type="character" w:customStyle="1" w:styleId="11">
    <w:name w:val="NormalCharacter"/>
    <w:link w:val="1"/>
    <w:semiHidden/>
    <w:qFormat/>
    <w:uiPriority w:val="0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12">
    <w:name w:val="UserStyle_45"/>
    <w:basedOn w:val="1"/>
    <w:qFormat/>
    <w:uiPriority w:val="0"/>
    <w:pPr>
      <w:spacing w:line="360" w:lineRule="auto"/>
      <w:ind w:firstLine="200" w:firstLineChars="200"/>
      <w:jc w:val="both"/>
    </w:pPr>
    <w:rPr>
      <w:kern w:val="2"/>
      <w:sz w:val="21"/>
      <w:szCs w:val="24"/>
      <w:lang w:val="en-US" w:eastAsia="zh-CN" w:bidi="ar-SA"/>
    </w:rPr>
  </w:style>
  <w:style w:type="paragraph" w:customStyle="1" w:styleId="13">
    <w:name w:val="00、封面正文(与其他内容无关的格式)"/>
    <w:basedOn w:val="1"/>
    <w:qFormat/>
    <w:uiPriority w:val="0"/>
    <w:pPr>
      <w:tabs>
        <w:tab w:val="left" w:pos="0"/>
      </w:tabs>
    </w:pPr>
  </w:style>
  <w:style w:type="paragraph" w:customStyle="1" w:styleId="14">
    <w:name w:val="01、普通正文"/>
    <w:basedOn w:val="1"/>
    <w:next w:val="5"/>
    <w:qFormat/>
    <w:uiPriority w:val="0"/>
    <w:pPr>
      <w:tabs>
        <w:tab w:val="left" w:pos="0"/>
      </w:tabs>
      <w:wordWrap w:val="0"/>
      <w:topLinePunct/>
    </w:pPr>
    <w:rPr>
      <w:snapToGrid w:val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Office_11.8.2.8593_F1E327BC-269C-435d-A152-05C5408002CA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2022-03-29T09:25:00Z</dcterms:created>
  <dc:creator>袁晓梅</dc:creator>
  <cp:lastModifiedBy>评估中心收文（刘柳）</cp:lastModifiedBy>
  <cp:lastPrinted>2024-03-07T10:28:00Z</cp:lastPrinted>
  <dcterms:modified xsi:type="dcterms:W3CDTF">2024-03-07T10:51:53Z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  <property fmtid="{D5CDD505-2E9C-101B-9397-08002B2CF9AE}" pid="3" name="ICV">
    <vt:lpwstr>F606CE8778FA451BACC537A9376AD674_13</vt:lpwstr>
  </property>
</Properties>
</file>