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left"/>
        <w:outlineLvl w:val="0"/>
        <w:rPr>
          <w:rFonts w:hint="default" w:ascii="方正小标宋简体" w:hAnsi="宋体" w:eastAsia="方正小标宋简体"/>
          <w:color w:val="000000"/>
          <w:sz w:val="30"/>
          <w:szCs w:val="30"/>
          <w:lang w:val="en-US" w:eastAsia="zh-CN"/>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auto"/>
          <w:sz w:val="72"/>
          <w:szCs w:val="72"/>
        </w:rPr>
      </w:pPr>
      <w:bookmarkStart w:id="1" w:name="_Toc15377193"/>
      <w:bookmarkStart w:id="2" w:name="_Toc15377425"/>
      <w:bookmarkStart w:id="3" w:name="_Toc15396597"/>
      <w:bookmarkStart w:id="4" w:name="_Toc15378441"/>
      <w:bookmarkStart w:id="5" w:name="_Toc15396475"/>
      <w:r>
        <w:rPr>
          <w:rFonts w:ascii="黑体" w:hAnsi="黑体" w:eastAsia="黑体"/>
          <w:color w:val="auto"/>
          <w:sz w:val="72"/>
          <w:szCs w:val="72"/>
        </w:rPr>
        <w:t>20</w:t>
      </w:r>
      <w:r>
        <w:rPr>
          <w:rFonts w:hint="eastAsia" w:ascii="黑体" w:hAnsi="黑体" w:eastAsia="黑体"/>
          <w:color w:val="auto"/>
          <w:sz w:val="72"/>
          <w:szCs w:val="72"/>
          <w:lang w:val="en-US" w:eastAsia="zh-CN"/>
        </w:rPr>
        <w:t>20</w:t>
      </w:r>
      <w:r>
        <w:rPr>
          <w:rFonts w:hint="eastAsia" w:ascii="方正小标宋简体" w:hAnsi="宋体" w:eastAsia="方正小标宋简体"/>
          <w:color w:val="auto"/>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auto"/>
          <w:sz w:val="72"/>
          <w:szCs w:val="72"/>
        </w:rPr>
      </w:pPr>
      <w:bookmarkStart w:id="6" w:name="_Toc15378442"/>
      <w:bookmarkStart w:id="7" w:name="_Toc15396476"/>
      <w:bookmarkStart w:id="8" w:name="_Toc15377194"/>
      <w:bookmarkStart w:id="9" w:name="_Toc15377426"/>
      <w:bookmarkStart w:id="10" w:name="_Toc15396598"/>
      <w:r>
        <w:rPr>
          <w:rFonts w:hint="eastAsia" w:ascii="方正小标宋简体" w:hAnsi="宋体" w:eastAsia="方正小标宋简体"/>
          <w:color w:val="auto"/>
          <w:sz w:val="72"/>
          <w:szCs w:val="72"/>
        </w:rPr>
        <w:t>四川省</w:t>
      </w:r>
      <w:bookmarkEnd w:id="0"/>
      <w:bookmarkStart w:id="11" w:name="_Toc15306268"/>
      <w:r>
        <w:rPr>
          <w:rFonts w:hint="eastAsia" w:ascii="方正小标宋简体" w:hAnsi="宋体" w:eastAsia="方正小标宋简体"/>
          <w:color w:val="auto"/>
          <w:sz w:val="72"/>
          <w:szCs w:val="72"/>
          <w:lang w:eastAsia="zh-CN"/>
        </w:rPr>
        <w:t>生态环境保护综合行政执法总队</w:t>
      </w:r>
      <w:r>
        <w:rPr>
          <w:rFonts w:hint="eastAsia" w:ascii="方正小标宋简体" w:hAnsi="宋体" w:eastAsia="方正小标宋简体"/>
          <w:color w:val="auto"/>
          <w:sz w:val="72"/>
          <w:szCs w:val="72"/>
        </w:rPr>
        <w:t>部门决算</w:t>
      </w:r>
      <w:bookmarkEnd w:id="6"/>
      <w:bookmarkEnd w:id="7"/>
      <w:bookmarkEnd w:id="8"/>
      <w:bookmarkEnd w:id="9"/>
      <w:bookmarkEnd w:id="10"/>
      <w:bookmarkEnd w:id="11"/>
    </w:p>
    <w:p>
      <w:pPr>
        <w:widowControl/>
        <w:jc w:val="center"/>
        <w:rPr>
          <w:rFonts w:ascii="黑体" w:hAnsi="黑体" w:eastAsia="黑体"/>
          <w:color w:val="auto"/>
          <w:sz w:val="48"/>
          <w:szCs w:val="48"/>
        </w:rPr>
      </w:pPr>
      <w:r>
        <w:rPr>
          <w:rFonts w:ascii="方正小标宋简体" w:hAnsi="宋体" w:eastAsia="方正小标宋简体"/>
          <w:color w:val="auto"/>
          <w:sz w:val="36"/>
          <w:szCs w:val="36"/>
        </w:rPr>
        <w:br w:type="page"/>
      </w:r>
      <w:r>
        <w:rPr>
          <w:rFonts w:hint="eastAsia" w:ascii="黑体" w:hAnsi="黑体" w:eastAsia="黑体"/>
          <w:color w:val="auto"/>
          <w:sz w:val="48"/>
          <w:szCs w:val="48"/>
        </w:rPr>
        <w:t>目录</w:t>
      </w:r>
    </w:p>
    <w:p>
      <w:pPr>
        <w:rPr>
          <w:color w:val="auto"/>
        </w:rPr>
      </w:pPr>
    </w:p>
    <w:p>
      <w:pPr>
        <w:pStyle w:val="11"/>
        <w:adjustRightInd w:val="0"/>
        <w:snapToGrid w:val="0"/>
        <w:spacing w:before="0" w:line="440" w:lineRule="exact"/>
        <w:jc w:val="left"/>
        <w:rPr>
          <w:rFonts w:cstheme="minorBidi"/>
          <w:color w:val="auto"/>
          <w:sz w:val="24"/>
          <w:szCs w:val="24"/>
        </w:rPr>
      </w:pPr>
      <w:r>
        <w:rPr>
          <w:rFonts w:hint="eastAsia"/>
          <w:color w:val="auto"/>
          <w:sz w:val="24"/>
        </w:rPr>
        <w:t>第一部分</w:t>
      </w:r>
      <w:r>
        <w:rPr>
          <w:color w:val="auto"/>
          <w:sz w:val="24"/>
        </w:rPr>
        <w:t xml:space="preserve"> </w:t>
      </w:r>
      <w:r>
        <w:rPr>
          <w:rFonts w:hint="eastAsia"/>
          <w:color w:val="auto"/>
          <w:sz w:val="24"/>
          <w:lang w:eastAsia="zh-CN"/>
        </w:rPr>
        <w:t>单位</w:t>
      </w:r>
      <w:r>
        <w:rPr>
          <w:rFonts w:hint="eastAsia"/>
          <w:color w:val="auto"/>
          <w:sz w:val="24"/>
        </w:rPr>
        <w:t>概况</w:t>
      </w:r>
    </w:p>
    <w:p>
      <w:pPr>
        <w:pStyle w:val="12"/>
        <w:adjustRightInd w:val="0"/>
        <w:snapToGrid w:val="0"/>
        <w:spacing w:line="440" w:lineRule="exact"/>
        <w:jc w:val="left"/>
        <w:rPr>
          <w:rFonts w:hint="eastAsia"/>
          <w:color w:val="auto"/>
          <w:sz w:val="24"/>
          <w:lang w:eastAsia="zh-CN"/>
        </w:rPr>
      </w:pPr>
      <w:r>
        <w:rPr>
          <w:rFonts w:hint="eastAsia"/>
          <w:color w:val="auto"/>
          <w:sz w:val="24"/>
        </w:rPr>
        <w:t>一、职能</w:t>
      </w:r>
      <w:r>
        <w:rPr>
          <w:rFonts w:hint="eastAsia"/>
          <w:color w:val="auto"/>
          <w:sz w:val="24"/>
          <w:lang w:eastAsia="zh-CN"/>
        </w:rPr>
        <w:t>简介</w:t>
      </w:r>
    </w:p>
    <w:p>
      <w:pPr>
        <w:pStyle w:val="12"/>
        <w:adjustRightInd w:val="0"/>
        <w:snapToGrid w:val="0"/>
        <w:spacing w:line="440" w:lineRule="exact"/>
        <w:jc w:val="left"/>
        <w:rPr>
          <w:rFonts w:hint="eastAsia"/>
          <w:color w:val="auto"/>
          <w:sz w:val="24"/>
          <w:lang w:eastAsia="zh-CN"/>
        </w:rPr>
      </w:pPr>
      <w:r>
        <w:rPr>
          <w:rFonts w:hint="eastAsia"/>
          <w:color w:val="auto"/>
          <w:sz w:val="24"/>
          <w:lang w:eastAsia="zh-CN"/>
        </w:rPr>
        <w:t>二、</w:t>
      </w:r>
      <w:r>
        <w:rPr>
          <w:rFonts w:hint="eastAsia"/>
          <w:color w:val="auto"/>
          <w:sz w:val="24"/>
          <w:lang w:val="en-US" w:eastAsia="zh-CN"/>
        </w:rPr>
        <w:t>2020年重点</w:t>
      </w:r>
      <w:r>
        <w:rPr>
          <w:rFonts w:hint="eastAsia"/>
          <w:color w:val="auto"/>
          <w:sz w:val="24"/>
        </w:rPr>
        <w:t>工作</w:t>
      </w:r>
      <w:r>
        <w:rPr>
          <w:rFonts w:hint="eastAsia"/>
          <w:color w:val="auto"/>
          <w:sz w:val="24"/>
          <w:lang w:eastAsia="zh-CN"/>
        </w:rPr>
        <w:t>完成情况</w:t>
      </w:r>
    </w:p>
    <w:p>
      <w:pPr>
        <w:pStyle w:val="12"/>
        <w:adjustRightInd w:val="0"/>
        <w:snapToGrid w:val="0"/>
        <w:spacing w:line="440" w:lineRule="exact"/>
        <w:ind w:left="0" w:leftChars="0" w:firstLine="0" w:firstLineChars="0"/>
        <w:jc w:val="left"/>
        <w:rPr>
          <w:rFonts w:hint="eastAsia"/>
          <w:color w:val="auto"/>
          <w:sz w:val="24"/>
          <w:lang w:val="en-US" w:eastAsia="zh-CN"/>
        </w:rPr>
      </w:pPr>
      <w:r>
        <w:rPr>
          <w:rFonts w:hint="eastAsia"/>
          <w:color w:val="auto"/>
          <w:sz w:val="24"/>
          <w:lang w:val="en-US" w:eastAsia="zh-CN"/>
        </w:rPr>
        <w:t xml:space="preserve">    三、机构设置情况</w:t>
      </w:r>
    </w:p>
    <w:p>
      <w:pPr>
        <w:pStyle w:val="11"/>
        <w:adjustRightInd w:val="0"/>
        <w:snapToGrid w:val="0"/>
        <w:spacing w:before="0" w:line="440" w:lineRule="exact"/>
        <w:jc w:val="left"/>
        <w:rPr>
          <w:color w:val="auto"/>
          <w:sz w:val="24"/>
          <w:szCs w:val="24"/>
        </w:rPr>
      </w:pPr>
      <w:r>
        <w:rPr>
          <w:rFonts w:hint="eastAsia"/>
          <w:color w:val="auto"/>
          <w:sz w:val="24"/>
        </w:rPr>
        <w:t>第二部分</w:t>
      </w:r>
      <w:r>
        <w:rPr>
          <w:rFonts w:hint="eastAsia"/>
          <w:color w:val="auto"/>
          <w:sz w:val="24"/>
          <w:lang w:val="en-US" w:eastAsia="zh-CN"/>
        </w:rPr>
        <w:t xml:space="preserve"> 2020年度</w:t>
      </w:r>
      <w:r>
        <w:rPr>
          <w:rFonts w:hint="eastAsia"/>
          <w:color w:val="auto"/>
          <w:sz w:val="24"/>
        </w:rPr>
        <w:t>部门决算情况说明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一、收入支出决算总体情况说明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二、收入决算情况说明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三、支出决算情况说明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四、财政拨款收入支出决算总体情况说明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五、一般公共预算财政拨款支出决算情况说明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六、一般公共预算财政拨款基本支出决算情况说明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七、</w:t>
      </w:r>
      <w:r>
        <w:rPr>
          <w:color w:val="auto"/>
          <w:sz w:val="24"/>
        </w:rPr>
        <w:t>“</w:t>
      </w:r>
      <w:r>
        <w:rPr>
          <w:rFonts w:hint="eastAsia"/>
          <w:color w:val="auto"/>
          <w:sz w:val="24"/>
        </w:rPr>
        <w:t>三公”经费财政拨款支出决算情况说明</w:t>
      </w:r>
    </w:p>
    <w:p>
      <w:pPr>
        <w:pStyle w:val="12"/>
        <w:adjustRightInd w:val="0"/>
        <w:snapToGrid w:val="0"/>
        <w:spacing w:line="440" w:lineRule="exact"/>
        <w:jc w:val="left"/>
        <w:rPr>
          <w:rFonts w:ascii="仿宋" w:hAnsi="仿宋" w:eastAsia="仿宋" w:cstheme="minorBidi"/>
          <w:color w:val="auto"/>
          <w:sz w:val="24"/>
        </w:rPr>
      </w:pPr>
      <w:r>
        <w:rPr>
          <w:rFonts w:hint="eastAsia"/>
          <w:color w:val="auto"/>
          <w:sz w:val="24"/>
        </w:rPr>
        <w:t>八、政府性基金预算支出决算情况说明</w:t>
      </w:r>
    </w:p>
    <w:p>
      <w:pPr>
        <w:pStyle w:val="12"/>
        <w:adjustRightInd w:val="0"/>
        <w:snapToGrid w:val="0"/>
        <w:spacing w:line="440" w:lineRule="exact"/>
        <w:jc w:val="left"/>
        <w:rPr>
          <w:rFonts w:hint="eastAsia"/>
          <w:color w:val="auto"/>
          <w:sz w:val="24"/>
        </w:rPr>
      </w:pPr>
      <w:r>
        <w:rPr>
          <w:rFonts w:hint="eastAsia"/>
          <w:color w:val="auto"/>
          <w:sz w:val="24"/>
        </w:rPr>
        <w:t>九、国有资本经营预算支出决算情况说明</w:t>
      </w:r>
    </w:p>
    <w:p>
      <w:pPr>
        <w:pStyle w:val="12"/>
        <w:adjustRightInd w:val="0"/>
        <w:snapToGrid w:val="0"/>
        <w:spacing w:line="440" w:lineRule="exact"/>
        <w:jc w:val="left"/>
        <w:rPr>
          <w:rFonts w:hint="eastAsia"/>
          <w:color w:val="auto"/>
          <w:sz w:val="24"/>
          <w:lang w:eastAsia="zh-CN"/>
        </w:rPr>
      </w:pPr>
      <w:r>
        <w:rPr>
          <w:rFonts w:hint="eastAsia"/>
          <w:color w:val="auto"/>
          <w:sz w:val="24"/>
        </w:rPr>
        <w:t>十、其他重要事项的情况说明</w:t>
      </w:r>
    </w:p>
    <w:p>
      <w:pPr>
        <w:pStyle w:val="11"/>
        <w:adjustRightInd w:val="0"/>
        <w:snapToGrid w:val="0"/>
        <w:spacing w:before="0" w:line="440" w:lineRule="exact"/>
        <w:jc w:val="left"/>
        <w:rPr>
          <w:rFonts w:cstheme="minorBidi"/>
          <w:color w:val="auto"/>
          <w:sz w:val="24"/>
          <w:szCs w:val="24"/>
        </w:rPr>
      </w:pPr>
      <w:r>
        <w:rPr>
          <w:rFonts w:hint="eastAsia"/>
          <w:color w:val="auto"/>
          <w:sz w:val="24"/>
        </w:rPr>
        <w:t>第三部分</w:t>
      </w:r>
      <w:r>
        <w:rPr>
          <w:color w:val="auto"/>
          <w:sz w:val="24"/>
        </w:rPr>
        <w:t xml:space="preserve"> </w:t>
      </w:r>
      <w:r>
        <w:rPr>
          <w:rFonts w:hint="eastAsia"/>
          <w:color w:val="auto"/>
          <w:sz w:val="24"/>
        </w:rPr>
        <w:t>名词解释</w:t>
      </w:r>
    </w:p>
    <w:p>
      <w:pPr>
        <w:pStyle w:val="11"/>
        <w:adjustRightInd w:val="0"/>
        <w:snapToGrid w:val="0"/>
        <w:spacing w:before="0" w:line="440" w:lineRule="exact"/>
        <w:jc w:val="left"/>
        <w:rPr>
          <w:rFonts w:cstheme="minorBidi"/>
          <w:color w:val="auto"/>
          <w:sz w:val="24"/>
          <w:szCs w:val="24"/>
        </w:rPr>
      </w:pPr>
      <w:r>
        <w:rPr>
          <w:rFonts w:hint="eastAsia"/>
          <w:color w:val="auto"/>
          <w:sz w:val="24"/>
        </w:rPr>
        <w:t>第四部分</w:t>
      </w:r>
      <w:r>
        <w:rPr>
          <w:color w:val="auto"/>
          <w:sz w:val="24"/>
        </w:rPr>
        <w:t xml:space="preserve"> </w:t>
      </w:r>
      <w:r>
        <w:rPr>
          <w:rFonts w:hint="eastAsia"/>
          <w:color w:val="auto"/>
          <w:sz w:val="24"/>
        </w:rPr>
        <w:t>附件</w:t>
      </w:r>
    </w:p>
    <w:p>
      <w:pPr>
        <w:pStyle w:val="11"/>
        <w:adjustRightInd w:val="0"/>
        <w:snapToGrid w:val="0"/>
        <w:spacing w:before="0" w:line="440" w:lineRule="exact"/>
        <w:jc w:val="left"/>
        <w:rPr>
          <w:rFonts w:cstheme="minorBidi"/>
          <w:color w:val="auto"/>
          <w:sz w:val="24"/>
          <w:szCs w:val="24"/>
        </w:rPr>
      </w:pPr>
      <w:r>
        <w:rPr>
          <w:rFonts w:hint="eastAsia"/>
          <w:color w:val="auto"/>
          <w:sz w:val="24"/>
        </w:rPr>
        <w:t>第五部分</w:t>
      </w:r>
      <w:r>
        <w:rPr>
          <w:color w:val="auto"/>
          <w:sz w:val="24"/>
        </w:rPr>
        <w:t xml:space="preserve"> </w:t>
      </w:r>
      <w:r>
        <w:rPr>
          <w:rFonts w:hint="eastAsia"/>
          <w:color w:val="auto"/>
          <w:sz w:val="24"/>
        </w:rPr>
        <w:t>附表</w:t>
      </w:r>
    </w:p>
    <w:p>
      <w:pPr>
        <w:pStyle w:val="12"/>
        <w:adjustRightInd w:val="0"/>
        <w:snapToGrid w:val="0"/>
        <w:spacing w:line="440" w:lineRule="exact"/>
        <w:jc w:val="left"/>
        <w:rPr>
          <w:rFonts w:hint="eastAsia"/>
          <w:color w:val="auto"/>
          <w:sz w:val="24"/>
        </w:rPr>
      </w:pPr>
      <w:r>
        <w:rPr>
          <w:rFonts w:hint="eastAsia"/>
          <w:color w:val="auto"/>
          <w:sz w:val="24"/>
        </w:rPr>
        <w:t>一、收入支出决算总表</w:t>
      </w:r>
    </w:p>
    <w:p>
      <w:pPr>
        <w:pStyle w:val="12"/>
        <w:adjustRightInd w:val="0"/>
        <w:snapToGrid w:val="0"/>
        <w:spacing w:line="440" w:lineRule="exact"/>
        <w:jc w:val="left"/>
        <w:rPr>
          <w:rFonts w:hint="eastAsia"/>
          <w:color w:val="auto"/>
          <w:sz w:val="24"/>
        </w:rPr>
      </w:pPr>
      <w:r>
        <w:rPr>
          <w:rFonts w:hint="eastAsia"/>
          <w:color w:val="auto"/>
          <w:sz w:val="24"/>
        </w:rPr>
        <w:t>二、收入决算表</w:t>
      </w:r>
    </w:p>
    <w:p>
      <w:pPr>
        <w:pStyle w:val="12"/>
        <w:adjustRightInd w:val="0"/>
        <w:snapToGrid w:val="0"/>
        <w:spacing w:line="440" w:lineRule="exact"/>
        <w:jc w:val="left"/>
        <w:rPr>
          <w:rFonts w:hint="eastAsia"/>
          <w:color w:val="auto"/>
          <w:sz w:val="24"/>
        </w:rPr>
      </w:pPr>
      <w:r>
        <w:rPr>
          <w:rFonts w:hint="eastAsia"/>
          <w:color w:val="auto"/>
          <w:sz w:val="24"/>
        </w:rPr>
        <w:t>三、支出决算表</w:t>
      </w:r>
    </w:p>
    <w:p>
      <w:pPr>
        <w:pStyle w:val="12"/>
        <w:adjustRightInd w:val="0"/>
        <w:snapToGrid w:val="0"/>
        <w:spacing w:line="440" w:lineRule="exact"/>
        <w:jc w:val="left"/>
        <w:rPr>
          <w:rFonts w:hint="eastAsia"/>
          <w:color w:val="auto"/>
          <w:sz w:val="24"/>
        </w:rPr>
      </w:pPr>
      <w:r>
        <w:rPr>
          <w:rFonts w:hint="eastAsia"/>
          <w:color w:val="auto"/>
          <w:sz w:val="24"/>
        </w:rPr>
        <w:t>四、财政拨款收入支出决算总表</w:t>
      </w:r>
    </w:p>
    <w:p>
      <w:pPr>
        <w:pStyle w:val="12"/>
        <w:adjustRightInd w:val="0"/>
        <w:snapToGrid w:val="0"/>
        <w:spacing w:line="440" w:lineRule="exact"/>
        <w:jc w:val="left"/>
        <w:rPr>
          <w:rFonts w:hint="eastAsia"/>
          <w:color w:val="auto"/>
          <w:sz w:val="24"/>
        </w:rPr>
      </w:pPr>
      <w:r>
        <w:rPr>
          <w:rFonts w:hint="eastAsia"/>
          <w:color w:val="auto"/>
          <w:sz w:val="24"/>
        </w:rPr>
        <w:t>五、财政拨款支出决算明细表</w:t>
      </w:r>
    </w:p>
    <w:p>
      <w:pPr>
        <w:pStyle w:val="12"/>
        <w:adjustRightInd w:val="0"/>
        <w:snapToGrid w:val="0"/>
        <w:spacing w:line="440" w:lineRule="exact"/>
        <w:jc w:val="left"/>
        <w:rPr>
          <w:rFonts w:hint="eastAsia"/>
          <w:color w:val="auto"/>
          <w:sz w:val="24"/>
        </w:rPr>
      </w:pPr>
      <w:r>
        <w:rPr>
          <w:rFonts w:hint="eastAsia"/>
          <w:color w:val="auto"/>
          <w:sz w:val="24"/>
        </w:rPr>
        <w:t>六、一般公共预算财政拨款支出决算表</w:t>
      </w:r>
    </w:p>
    <w:p>
      <w:pPr>
        <w:pStyle w:val="12"/>
        <w:adjustRightInd w:val="0"/>
        <w:snapToGrid w:val="0"/>
        <w:spacing w:line="440" w:lineRule="exact"/>
        <w:jc w:val="left"/>
        <w:rPr>
          <w:rFonts w:hint="eastAsia"/>
          <w:color w:val="auto"/>
          <w:sz w:val="24"/>
        </w:rPr>
      </w:pPr>
      <w:r>
        <w:rPr>
          <w:rFonts w:hint="eastAsia"/>
          <w:color w:val="auto"/>
          <w:sz w:val="24"/>
        </w:rPr>
        <w:t>七、一般公共预算财政拨款支出决算明细表</w:t>
      </w:r>
    </w:p>
    <w:p>
      <w:pPr>
        <w:pStyle w:val="12"/>
        <w:adjustRightInd w:val="0"/>
        <w:snapToGrid w:val="0"/>
        <w:spacing w:line="440" w:lineRule="exact"/>
        <w:jc w:val="left"/>
        <w:rPr>
          <w:rFonts w:hint="eastAsia"/>
          <w:color w:val="auto"/>
          <w:sz w:val="24"/>
        </w:rPr>
      </w:pPr>
      <w:r>
        <w:rPr>
          <w:rFonts w:hint="eastAsia"/>
          <w:color w:val="auto"/>
          <w:sz w:val="24"/>
        </w:rPr>
        <w:t>八、一般公共预算财政拨款基本支出决算表</w:t>
      </w:r>
    </w:p>
    <w:p>
      <w:pPr>
        <w:pStyle w:val="12"/>
        <w:adjustRightInd w:val="0"/>
        <w:snapToGrid w:val="0"/>
        <w:spacing w:line="440" w:lineRule="exact"/>
        <w:jc w:val="left"/>
        <w:rPr>
          <w:rFonts w:hint="eastAsia"/>
          <w:color w:val="auto"/>
          <w:sz w:val="24"/>
        </w:rPr>
      </w:pPr>
      <w:r>
        <w:rPr>
          <w:rFonts w:hint="eastAsia"/>
          <w:color w:val="auto"/>
          <w:sz w:val="24"/>
        </w:rPr>
        <w:t>九、一般公共预算财政拨款项目支出决算表</w:t>
      </w:r>
    </w:p>
    <w:p>
      <w:pPr>
        <w:pStyle w:val="12"/>
        <w:adjustRightInd w:val="0"/>
        <w:snapToGrid w:val="0"/>
        <w:spacing w:line="440" w:lineRule="exact"/>
        <w:jc w:val="left"/>
        <w:rPr>
          <w:rFonts w:hint="eastAsia"/>
          <w:color w:val="auto"/>
          <w:sz w:val="24"/>
        </w:rPr>
      </w:pPr>
      <w:r>
        <w:rPr>
          <w:rFonts w:hint="eastAsia"/>
          <w:color w:val="auto"/>
          <w:sz w:val="24"/>
        </w:rPr>
        <w:t>十、一般公共预算财政拨款“三公”经费支出决算表</w:t>
      </w:r>
    </w:p>
    <w:p>
      <w:pPr>
        <w:pStyle w:val="12"/>
        <w:adjustRightInd w:val="0"/>
        <w:snapToGrid w:val="0"/>
        <w:spacing w:line="440" w:lineRule="exact"/>
        <w:jc w:val="left"/>
        <w:rPr>
          <w:rFonts w:hint="eastAsia"/>
          <w:color w:val="auto"/>
          <w:sz w:val="24"/>
        </w:rPr>
      </w:pPr>
      <w:r>
        <w:rPr>
          <w:rFonts w:hint="eastAsia"/>
          <w:color w:val="auto"/>
          <w:sz w:val="24"/>
        </w:rPr>
        <w:t>十一、政府性基金预算财政拨款收入支出决算表</w:t>
      </w:r>
    </w:p>
    <w:p>
      <w:pPr>
        <w:pStyle w:val="12"/>
        <w:adjustRightInd w:val="0"/>
        <w:snapToGrid w:val="0"/>
        <w:spacing w:line="440" w:lineRule="exact"/>
        <w:jc w:val="left"/>
        <w:rPr>
          <w:rFonts w:hint="eastAsia"/>
          <w:color w:val="auto"/>
          <w:sz w:val="24"/>
        </w:rPr>
      </w:pPr>
      <w:r>
        <w:rPr>
          <w:rFonts w:hint="eastAsia"/>
          <w:color w:val="auto"/>
          <w:sz w:val="24"/>
        </w:rPr>
        <w:t>十二、政府性基金预算财政拨款“三公”经费支出决算表</w:t>
      </w:r>
    </w:p>
    <w:p>
      <w:pPr>
        <w:pStyle w:val="12"/>
        <w:adjustRightInd w:val="0"/>
        <w:snapToGrid w:val="0"/>
        <w:spacing w:line="440" w:lineRule="exact"/>
        <w:jc w:val="left"/>
        <w:rPr>
          <w:rFonts w:hint="eastAsia"/>
          <w:color w:val="auto"/>
          <w:sz w:val="24"/>
        </w:rPr>
      </w:pPr>
      <w:r>
        <w:rPr>
          <w:rFonts w:hint="eastAsia"/>
          <w:color w:val="auto"/>
          <w:sz w:val="24"/>
        </w:rPr>
        <w:t>十三、国有资本经营预算</w:t>
      </w:r>
      <w:r>
        <w:rPr>
          <w:rFonts w:hint="eastAsia"/>
          <w:color w:val="auto"/>
          <w:sz w:val="24"/>
          <w:lang w:eastAsia="zh-CN"/>
        </w:rPr>
        <w:t>财政拨款收入</w:t>
      </w:r>
      <w:r>
        <w:rPr>
          <w:rFonts w:hint="eastAsia"/>
          <w:color w:val="auto"/>
          <w:sz w:val="24"/>
        </w:rPr>
        <w:t>支出决算表</w:t>
      </w:r>
    </w:p>
    <w:p>
      <w:pPr>
        <w:pStyle w:val="12"/>
        <w:adjustRightInd w:val="0"/>
        <w:snapToGrid w:val="0"/>
        <w:spacing w:line="440" w:lineRule="exact"/>
        <w:jc w:val="left"/>
        <w:rPr>
          <w:rFonts w:hint="default"/>
          <w:color w:val="auto"/>
          <w:sz w:val="24"/>
          <w:lang w:val="en-US" w:eastAsia="zh-CN"/>
        </w:rPr>
      </w:pPr>
      <w:r>
        <w:rPr>
          <w:rFonts w:hint="eastAsia"/>
          <w:color w:val="auto"/>
          <w:sz w:val="24"/>
          <w:lang w:val="en-US" w:eastAsia="zh-CN"/>
        </w:rPr>
        <w:t>十四、国有资本经营预算财政拨款支出决算表</w:t>
      </w:r>
    </w:p>
    <w:p>
      <w:pPr>
        <w:widowControl/>
        <w:spacing w:line="440" w:lineRule="exact"/>
        <w:jc w:val="left"/>
        <w:rPr>
          <w:rFonts w:ascii="仿宋" w:hAnsi="仿宋" w:eastAsia="仿宋"/>
          <w:bCs/>
          <w:color w:val="auto"/>
          <w:kern w:val="44"/>
          <w:sz w:val="24"/>
        </w:rPr>
      </w:pPr>
      <w:bookmarkStart w:id="12" w:name="_Toc15396599"/>
      <w:bookmarkStart w:id="13" w:name="_Toc15377196"/>
      <w:r>
        <w:rPr>
          <w:rFonts w:ascii="仿宋" w:hAnsi="仿宋" w:eastAsia="仿宋"/>
          <w:b/>
          <w:color w:val="auto"/>
          <w:sz w:val="24"/>
        </w:rPr>
        <w:br w:type="page"/>
      </w:r>
    </w:p>
    <w:p>
      <w:pPr>
        <w:pStyle w:val="3"/>
        <w:jc w:val="center"/>
        <w:rPr>
          <w:rStyle w:val="25"/>
          <w:rFonts w:ascii="黑体" w:hAnsi="黑体" w:eastAsia="黑体"/>
          <w:b/>
          <w:bCs w:val="0"/>
          <w:color w:val="auto"/>
        </w:rPr>
      </w:pPr>
      <w:r>
        <w:rPr>
          <w:rFonts w:hint="eastAsia" w:ascii="黑体" w:hAnsi="黑体" w:eastAsia="黑体"/>
          <w:b w:val="0"/>
          <w:color w:val="auto"/>
        </w:rPr>
        <w:t xml:space="preserve">第一部分 </w:t>
      </w:r>
      <w:r>
        <w:rPr>
          <w:rFonts w:hint="eastAsia" w:ascii="黑体" w:hAnsi="黑体" w:eastAsia="黑体"/>
          <w:b w:val="0"/>
          <w:color w:val="auto"/>
          <w:lang w:eastAsia="zh-CN"/>
        </w:rPr>
        <w:t>单位</w:t>
      </w:r>
      <w:r>
        <w:rPr>
          <w:rStyle w:val="25"/>
          <w:rFonts w:hint="eastAsia" w:ascii="黑体" w:hAnsi="黑体" w:eastAsia="黑体"/>
          <w:b w:val="0"/>
          <w:bCs w:val="0"/>
          <w:color w:val="auto"/>
        </w:rPr>
        <w:t>概况</w:t>
      </w:r>
      <w:bookmarkEnd w:id="12"/>
      <w:bookmarkEnd w:id="13"/>
    </w:p>
    <w:p>
      <w:pPr>
        <w:widowControl/>
        <w:jc w:val="left"/>
        <w:rPr>
          <w:rFonts w:ascii="黑体" w:eastAsia="黑体"/>
          <w:color w:val="auto"/>
          <w:sz w:val="32"/>
          <w:szCs w:val="32"/>
        </w:rPr>
      </w:pPr>
    </w:p>
    <w:p>
      <w:pPr>
        <w:pStyle w:val="4"/>
        <w:keepNext/>
        <w:keepLines/>
        <w:pageBreakBefore w:val="0"/>
        <w:widowControl w:val="0"/>
        <w:numPr>
          <w:ilvl w:val="0"/>
          <w:numId w:val="1"/>
        </w:numPr>
        <w:kinsoku/>
        <w:wordWrap/>
        <w:overflowPunct/>
        <w:topLinePunct w:val="0"/>
        <w:autoSpaceDE/>
        <w:autoSpaceDN/>
        <w:bidi w:val="0"/>
        <w:adjustRightInd/>
        <w:snapToGrid/>
        <w:spacing w:before="260" w:after="260" w:line="416" w:lineRule="auto"/>
        <w:ind w:left="420" w:leftChars="200" w:right="0" w:rightChars="0" w:firstLine="0" w:firstLineChars="0"/>
        <w:jc w:val="both"/>
        <w:textAlignment w:val="auto"/>
        <w:outlineLvl w:val="1"/>
        <w:rPr>
          <w:rFonts w:hint="eastAsia"/>
          <w:color w:val="auto"/>
        </w:rPr>
      </w:pPr>
      <w:bookmarkStart w:id="14" w:name="_Toc15377197"/>
      <w:bookmarkStart w:id="15" w:name="_Toc15396600"/>
      <w:r>
        <w:rPr>
          <w:rStyle w:val="26"/>
          <w:rFonts w:hint="eastAsia" w:ascii="黑体" w:hAnsi="黑体" w:eastAsia="黑体"/>
          <w:b w:val="0"/>
          <w:bCs w:val="0"/>
          <w:color w:val="auto"/>
        </w:rPr>
        <w:t>职能</w:t>
      </w:r>
      <w:r>
        <w:rPr>
          <w:rStyle w:val="26"/>
          <w:rFonts w:hint="eastAsia" w:ascii="黑体" w:hAnsi="黑体" w:eastAsia="黑体"/>
          <w:b w:val="0"/>
          <w:bCs w:val="0"/>
          <w:color w:val="auto"/>
          <w:lang w:eastAsia="zh-CN"/>
        </w:rPr>
        <w:t>简介</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right="0" w:rightChars="0" w:firstLine="0" w:firstLineChars="0"/>
        <w:jc w:val="both"/>
        <w:textAlignment w:val="auto"/>
        <w:outlineLvl w:val="9"/>
        <w:rPr>
          <w:rFonts w:hint="eastAsia"/>
        </w:rPr>
      </w:pPr>
      <w:r>
        <w:rPr>
          <w:rFonts w:hint="eastAsia" w:ascii="Times New Roman" w:hAnsi="Times New Roman" w:eastAsia="仿宋_GB2312"/>
          <w:bCs/>
          <w:sz w:val="32"/>
          <w:szCs w:val="32"/>
          <w:lang w:val="en-US" w:eastAsia="zh-CN"/>
        </w:rPr>
        <w:t xml:space="preserve">   </w:t>
      </w:r>
      <w:r>
        <w:rPr>
          <w:rFonts w:hint="eastAsia" w:eastAsia="仿宋_GB2312"/>
          <w:bCs/>
          <w:sz w:val="32"/>
          <w:szCs w:val="32"/>
          <w:lang w:val="en-US" w:eastAsia="zh-CN"/>
        </w:rPr>
        <w:t xml:space="preserve"> </w:t>
      </w:r>
      <w:r>
        <w:rPr>
          <w:rFonts w:hint="eastAsia" w:ascii="Times New Roman" w:hAnsi="Times New Roman" w:eastAsia="仿宋_GB2312"/>
          <w:bCs/>
          <w:sz w:val="32"/>
          <w:szCs w:val="32"/>
          <w:lang w:val="zh-CN"/>
        </w:rPr>
        <w:t>拟订生态环境保护综合执法工作标准和规范并监督实施；负责生态环境保护领域重大案件和跨区域、流域执法的督办查处和组织协调，承担省级执法事项；负责依法立案查处省级行业管理部门移送的生态环境违法案件线索；组织开展全省性生态环境保护执法检查活动；组织实施生态环境保护综合执法规范化建设，开展执法稽查；承担市县生态环境保护综合执法队伍业务指导工作。</w:t>
      </w:r>
    </w:p>
    <w:p>
      <w:pPr>
        <w:pStyle w:val="4"/>
        <w:keepNext/>
        <w:keepLines/>
        <w:pageBreakBefore w:val="0"/>
        <w:widowControl w:val="0"/>
        <w:numPr>
          <w:ilvl w:val="0"/>
          <w:numId w:val="1"/>
        </w:numPr>
        <w:kinsoku/>
        <w:wordWrap/>
        <w:overflowPunct/>
        <w:topLinePunct w:val="0"/>
        <w:autoSpaceDE/>
        <w:autoSpaceDN/>
        <w:bidi w:val="0"/>
        <w:adjustRightInd/>
        <w:snapToGrid/>
        <w:spacing w:before="260" w:after="260" w:line="416" w:lineRule="auto"/>
        <w:ind w:left="420" w:leftChars="200" w:right="0" w:rightChars="0" w:firstLine="0" w:firstLineChars="0"/>
        <w:jc w:val="both"/>
        <w:textAlignment w:val="auto"/>
        <w:outlineLvl w:val="1"/>
        <w:rPr>
          <w:rFonts w:hint="eastAsia" w:ascii="黑体" w:hAnsi="黑体" w:eastAsia="黑体"/>
          <w:b w:val="0"/>
          <w:color w:val="auto"/>
        </w:rPr>
      </w:pPr>
      <w:r>
        <w:rPr>
          <w:rFonts w:hint="eastAsia" w:ascii="黑体" w:hAnsi="黑体" w:eastAsia="黑体"/>
          <w:b w:val="0"/>
          <w:color w:val="auto"/>
          <w:lang w:val="en-US" w:eastAsia="zh-CN"/>
        </w:rPr>
        <w:t>2020年重点</w:t>
      </w:r>
      <w:r>
        <w:rPr>
          <w:rFonts w:hint="eastAsia" w:ascii="黑体" w:hAnsi="黑体" w:eastAsia="黑体"/>
          <w:b w:val="0"/>
          <w:color w:val="auto"/>
        </w:rPr>
        <w:t>工作</w:t>
      </w:r>
      <w:bookmarkEnd w:id="14"/>
      <w:bookmarkEnd w:id="15"/>
      <w:r>
        <w:rPr>
          <w:rFonts w:hint="eastAsia" w:ascii="黑体" w:hAnsi="黑体" w:eastAsia="黑体"/>
          <w:b w:val="0"/>
          <w:color w:val="auto"/>
          <w:lang w:eastAsia="zh-CN"/>
        </w:rPr>
        <w:t>完成情况</w:t>
      </w:r>
    </w:p>
    <w:p>
      <w:pPr>
        <w:adjustRightInd w:val="0"/>
        <w:snapToGrid w:val="0"/>
        <w:spacing w:line="620" w:lineRule="exact"/>
        <w:ind w:firstLine="643" w:firstLineChars="200"/>
        <w:rPr>
          <w:rFonts w:ascii="Times New Roman" w:hAnsi="Times New Roman" w:eastAsia="楷体_GB2312"/>
          <w:b/>
          <w:sz w:val="32"/>
          <w:szCs w:val="32"/>
        </w:rPr>
      </w:pPr>
      <w:r>
        <w:rPr>
          <w:rFonts w:hint="eastAsia" w:ascii="Times New Roman" w:hAnsi="Times New Roman" w:eastAsia="楷体"/>
          <w:b/>
          <w:sz w:val="32"/>
          <w:szCs w:val="32"/>
          <w:lang w:eastAsia="zh-CN"/>
        </w:rPr>
        <w:t>（一）</w:t>
      </w:r>
      <w:r>
        <w:rPr>
          <w:rFonts w:ascii="Times New Roman" w:hAnsi="Times New Roman" w:eastAsia="楷体"/>
          <w:b/>
          <w:sz w:val="32"/>
          <w:szCs w:val="32"/>
        </w:rPr>
        <w:t>全力</w:t>
      </w:r>
      <w:r>
        <w:rPr>
          <w:rFonts w:hint="eastAsia" w:ascii="Times New Roman" w:hAnsi="Times New Roman" w:eastAsia="楷体"/>
          <w:b/>
          <w:sz w:val="32"/>
          <w:szCs w:val="32"/>
        </w:rPr>
        <w:t>应对</w:t>
      </w:r>
      <w:r>
        <w:rPr>
          <w:rFonts w:ascii="Times New Roman" w:hAnsi="Times New Roman" w:eastAsia="楷体"/>
          <w:b/>
          <w:sz w:val="32"/>
          <w:szCs w:val="32"/>
        </w:rPr>
        <w:t>新冠</w:t>
      </w:r>
      <w:r>
        <w:rPr>
          <w:rFonts w:hint="eastAsia" w:ascii="Times New Roman" w:hAnsi="Times New Roman" w:eastAsia="楷体"/>
          <w:b/>
          <w:sz w:val="32"/>
          <w:szCs w:val="32"/>
        </w:rPr>
        <w:t>肺炎</w:t>
      </w:r>
      <w:r>
        <w:rPr>
          <w:rFonts w:ascii="Times New Roman" w:hAnsi="Times New Roman" w:eastAsia="楷体"/>
          <w:b/>
          <w:sz w:val="32"/>
          <w:szCs w:val="32"/>
        </w:rPr>
        <w:t>疫情防控。</w:t>
      </w:r>
      <w:r>
        <w:rPr>
          <w:rFonts w:ascii="Times New Roman" w:hAnsi="Times New Roman" w:eastAsia="仿宋_GB2312"/>
          <w:sz w:val="32"/>
          <w:szCs w:val="32"/>
        </w:rPr>
        <w:t>充分利用在线监控、视频监控</w:t>
      </w:r>
      <w:r>
        <w:rPr>
          <w:rFonts w:hint="eastAsia" w:ascii="Times New Roman" w:hAnsi="Times New Roman" w:eastAsia="仿宋_GB2312"/>
          <w:sz w:val="32"/>
          <w:szCs w:val="32"/>
        </w:rPr>
        <w:t>，加强</w:t>
      </w:r>
      <w:r>
        <w:rPr>
          <w:rFonts w:ascii="Times New Roman" w:hAnsi="Times New Roman" w:eastAsia="仿宋_GB2312"/>
          <w:sz w:val="32"/>
          <w:szCs w:val="32"/>
        </w:rPr>
        <w:t>重点</w:t>
      </w:r>
      <w:r>
        <w:rPr>
          <w:rFonts w:hint="eastAsia" w:ascii="Times New Roman" w:hAnsi="Times New Roman" w:eastAsia="仿宋_GB2312"/>
          <w:sz w:val="32"/>
          <w:szCs w:val="32"/>
        </w:rPr>
        <w:t>企业治污设施运行监管</w:t>
      </w:r>
      <w:r>
        <w:rPr>
          <w:rFonts w:ascii="Times New Roman" w:hAnsi="Times New Roman" w:eastAsia="仿宋_GB2312"/>
          <w:sz w:val="32"/>
          <w:szCs w:val="32"/>
        </w:rPr>
        <w:t>，</w:t>
      </w:r>
      <w:r>
        <w:rPr>
          <w:rFonts w:hint="eastAsia" w:ascii="Times New Roman" w:hAnsi="Times New Roman" w:eastAsia="仿宋_GB2312"/>
          <w:sz w:val="32"/>
          <w:szCs w:val="32"/>
        </w:rPr>
        <w:t>组织力量对</w:t>
      </w:r>
      <w:r>
        <w:rPr>
          <w:rFonts w:ascii="Times New Roman" w:hAnsi="Times New Roman" w:eastAsia="仿宋_GB2312"/>
          <w:sz w:val="32"/>
          <w:szCs w:val="32"/>
        </w:rPr>
        <w:t>医疗机构</w:t>
      </w:r>
      <w:r>
        <w:rPr>
          <w:rFonts w:hint="eastAsia" w:ascii="Times New Roman" w:hAnsi="Times New Roman" w:eastAsia="仿宋_GB2312"/>
          <w:sz w:val="32"/>
          <w:szCs w:val="32"/>
        </w:rPr>
        <w:t>开展现场检查</w:t>
      </w:r>
      <w:r>
        <w:rPr>
          <w:rFonts w:ascii="Times New Roman" w:hAnsi="Times New Roman" w:eastAsia="仿宋_GB2312"/>
          <w:sz w:val="32"/>
          <w:szCs w:val="32"/>
        </w:rPr>
        <w:t>8921家次、医废处置单位</w:t>
      </w:r>
      <w:r>
        <w:rPr>
          <w:rFonts w:hint="eastAsia" w:ascii="Times New Roman" w:hAnsi="Times New Roman" w:eastAsia="仿宋_GB2312"/>
          <w:sz w:val="32"/>
          <w:szCs w:val="32"/>
        </w:rPr>
        <w:t>检查</w:t>
      </w:r>
      <w:r>
        <w:rPr>
          <w:rFonts w:ascii="Times New Roman" w:hAnsi="Times New Roman" w:eastAsia="仿宋_GB2312"/>
          <w:sz w:val="32"/>
          <w:szCs w:val="32"/>
        </w:rPr>
        <w:t>1176家次</w:t>
      </w:r>
      <w:r>
        <w:rPr>
          <w:rFonts w:hint="eastAsia" w:ascii="Times New Roman" w:hAnsi="Times New Roman" w:eastAsia="仿宋_GB2312"/>
          <w:sz w:val="32"/>
          <w:szCs w:val="32"/>
        </w:rPr>
        <w:t>，</w:t>
      </w:r>
      <w:r>
        <w:rPr>
          <w:rFonts w:ascii="Times New Roman" w:hAnsi="Times New Roman" w:eastAsia="仿宋_GB2312"/>
          <w:sz w:val="32"/>
          <w:szCs w:val="32"/>
        </w:rPr>
        <w:t>污水处理厂检查5454家次，编制发放了医废处置守法手册。</w:t>
      </w:r>
    </w:p>
    <w:p>
      <w:pPr>
        <w:adjustRightInd w:val="0"/>
        <w:snapToGrid w:val="0"/>
        <w:spacing w:line="620" w:lineRule="exact"/>
        <w:ind w:firstLine="643" w:firstLineChars="200"/>
        <w:rPr>
          <w:rFonts w:ascii="Times New Roman" w:hAnsi="Times New Roman" w:eastAsia="仿宋_GB2312"/>
          <w:sz w:val="32"/>
          <w:szCs w:val="32"/>
        </w:rPr>
      </w:pPr>
      <w:r>
        <w:rPr>
          <w:rFonts w:hint="eastAsia" w:ascii="Times New Roman" w:hAnsi="Times New Roman" w:eastAsia="楷体"/>
          <w:b/>
          <w:color w:val="000000" w:themeColor="text1"/>
          <w:sz w:val="32"/>
          <w:szCs w:val="32"/>
          <w:lang w:eastAsia="zh-CN"/>
          <w14:textFill>
            <w14:solidFill>
              <w14:schemeClr w14:val="tx1"/>
            </w14:solidFill>
          </w14:textFill>
        </w:rPr>
        <w:t>（二）</w:t>
      </w:r>
      <w:r>
        <w:rPr>
          <w:rFonts w:hint="eastAsia" w:eastAsia="楷体"/>
          <w:b/>
          <w:color w:val="000000" w:themeColor="text1"/>
          <w:sz w:val="32"/>
          <w:szCs w:val="32"/>
          <w:lang w:eastAsia="zh-CN"/>
          <w14:textFill>
            <w14:solidFill>
              <w14:schemeClr w14:val="tx1"/>
            </w14:solidFill>
          </w14:textFill>
        </w:rPr>
        <w:t>深入</w:t>
      </w:r>
      <w:r>
        <w:rPr>
          <w:rFonts w:ascii="Times New Roman" w:hAnsi="Times New Roman" w:eastAsia="楷体"/>
          <w:b/>
          <w:color w:val="000000" w:themeColor="text1"/>
          <w:sz w:val="32"/>
          <w:szCs w:val="32"/>
          <w14:textFill>
            <w14:solidFill>
              <w14:schemeClr w14:val="tx1"/>
            </w14:solidFill>
          </w14:textFill>
        </w:rPr>
        <w:t>打好污染防治攻坚战</w:t>
      </w:r>
      <w:r>
        <w:rPr>
          <w:rFonts w:ascii="Times New Roman" w:hAnsi="Times New Roman" w:eastAsia="楷体_GB2312"/>
          <w:b/>
          <w:color w:val="000000" w:themeColor="text1"/>
          <w:sz w:val="32"/>
          <w:szCs w:val="32"/>
          <w14:textFill>
            <w14:solidFill>
              <w14:schemeClr w14:val="tx1"/>
            </w14:solidFill>
          </w14:textFill>
        </w:rPr>
        <w:t>。</w:t>
      </w:r>
      <w:r>
        <w:rPr>
          <w:rFonts w:hint="eastAsia" w:eastAsia="楷体_GB2312"/>
          <w:b w:val="0"/>
          <w:bCs/>
          <w:color w:val="000000" w:themeColor="text1"/>
          <w:sz w:val="32"/>
          <w:szCs w:val="32"/>
          <w:lang w:eastAsia="zh-CN"/>
          <w14:textFill>
            <w14:solidFill>
              <w14:schemeClr w14:val="tx1"/>
            </w14:solidFill>
          </w14:textFill>
        </w:rPr>
        <w:t>开展</w:t>
      </w:r>
      <w:r>
        <w:rPr>
          <w:rFonts w:ascii="Times New Roman" w:hAnsi="Times New Roman" w:eastAsia="仿宋_GB2312"/>
          <w:color w:val="000000" w:themeColor="text1"/>
          <w:sz w:val="32"/>
          <w:szCs w:val="32"/>
          <w14:textFill>
            <w14:solidFill>
              <w14:schemeClr w14:val="tx1"/>
            </w14:solidFill>
          </w14:textFill>
        </w:rPr>
        <w:t>20</w:t>
      </w:r>
      <w:r>
        <w:rPr>
          <w:rFonts w:ascii="Times New Roman" w:hAnsi="Times New Roman" w:eastAsia="仿宋_GB2312"/>
          <w:sz w:val="32"/>
          <w:szCs w:val="32"/>
        </w:rPr>
        <w:t>20年</w:t>
      </w:r>
      <w:r>
        <w:rPr>
          <w:rFonts w:hint="eastAsia" w:eastAsia="仿宋_GB2312"/>
          <w:sz w:val="32"/>
          <w:szCs w:val="32"/>
          <w:lang w:eastAsia="zh-CN"/>
        </w:rPr>
        <w:t>秋</w:t>
      </w:r>
      <w:r>
        <w:rPr>
          <w:rFonts w:ascii="Times New Roman" w:hAnsi="Times New Roman" w:eastAsia="仿宋_GB2312"/>
          <w:bCs/>
          <w:sz w:val="32"/>
          <w:szCs w:val="32"/>
        </w:rPr>
        <w:t>冬季大气</w:t>
      </w:r>
      <w:r>
        <w:rPr>
          <w:rFonts w:hint="eastAsia" w:ascii="Times New Roman" w:hAnsi="Times New Roman" w:eastAsia="仿宋_GB2312"/>
          <w:bCs/>
          <w:sz w:val="32"/>
          <w:szCs w:val="32"/>
        </w:rPr>
        <w:t>污染防治</w:t>
      </w:r>
      <w:r>
        <w:rPr>
          <w:rFonts w:hint="eastAsia" w:eastAsia="仿宋_GB2312"/>
          <w:bCs/>
          <w:sz w:val="32"/>
          <w:szCs w:val="32"/>
          <w:lang w:eastAsia="zh-CN"/>
        </w:rPr>
        <w:t>和夏季臭氧防控</w:t>
      </w:r>
      <w:r>
        <w:rPr>
          <w:rFonts w:hint="eastAsia" w:ascii="Times New Roman" w:hAnsi="Times New Roman" w:eastAsia="仿宋_GB2312"/>
          <w:bCs/>
          <w:sz w:val="32"/>
          <w:szCs w:val="32"/>
        </w:rPr>
        <w:t>攻坚帮扶</w:t>
      </w:r>
      <w:r>
        <w:rPr>
          <w:rFonts w:hint="eastAsia" w:eastAsia="仿宋_GB2312"/>
          <w:bCs/>
          <w:sz w:val="32"/>
          <w:szCs w:val="32"/>
          <w:lang w:eastAsia="zh-CN"/>
        </w:rPr>
        <w:t>，</w:t>
      </w:r>
      <w:r>
        <w:rPr>
          <w:rFonts w:ascii="Times New Roman" w:hAnsi="Times New Roman" w:eastAsia="仿宋_GB2312"/>
          <w:sz w:val="32"/>
          <w:szCs w:val="32"/>
        </w:rPr>
        <w:t>开展长江经济带生态环境问题集中排查整治</w:t>
      </w:r>
      <w:r>
        <w:rPr>
          <w:rFonts w:hint="eastAsia" w:ascii="Times New Roman" w:hAnsi="Times New Roman" w:eastAsia="仿宋_GB2312"/>
          <w:sz w:val="32"/>
          <w:szCs w:val="32"/>
        </w:rPr>
        <w:t>（发</w:t>
      </w:r>
      <w:r>
        <w:rPr>
          <w:rFonts w:ascii="Times New Roman" w:hAnsi="Times New Roman" w:eastAsia="仿宋_GB2312"/>
          <w:sz w:val="32"/>
          <w:szCs w:val="32"/>
        </w:rPr>
        <w:t>现问题8638个</w:t>
      </w:r>
      <w:r>
        <w:rPr>
          <w:rFonts w:hint="eastAsia" w:ascii="Times New Roman" w:hAnsi="Times New Roman" w:eastAsia="仿宋_GB2312"/>
          <w:sz w:val="32"/>
          <w:szCs w:val="32"/>
        </w:rPr>
        <w:t>）</w:t>
      </w:r>
      <w:r>
        <w:rPr>
          <w:rFonts w:hint="eastAsia" w:eastAsia="仿宋_GB2312"/>
          <w:sz w:val="32"/>
          <w:szCs w:val="32"/>
          <w:lang w:eastAsia="zh-CN"/>
        </w:rPr>
        <w:t>，</w:t>
      </w:r>
      <w:r>
        <w:rPr>
          <w:rFonts w:hint="eastAsia" w:ascii="Times New Roman" w:hAnsi="Times New Roman" w:eastAsia="仿宋_GB2312"/>
          <w:sz w:val="32"/>
          <w:szCs w:val="32"/>
        </w:rPr>
        <w:t>组织开展</w:t>
      </w:r>
      <w:r>
        <w:rPr>
          <w:rFonts w:ascii="Times New Roman" w:hAnsi="Times New Roman" w:eastAsia="仿宋_GB2312"/>
          <w:sz w:val="32"/>
          <w:szCs w:val="32"/>
        </w:rPr>
        <w:t>土壤环境</w:t>
      </w:r>
      <w:r>
        <w:rPr>
          <w:rFonts w:hint="eastAsia" w:eastAsia="仿宋_GB2312"/>
          <w:sz w:val="32"/>
          <w:szCs w:val="32"/>
          <w:lang w:eastAsia="zh-CN"/>
        </w:rPr>
        <w:t>网络防控</w:t>
      </w:r>
      <w:r>
        <w:rPr>
          <w:rFonts w:hint="eastAsia" w:ascii="Times New Roman" w:hAnsi="Times New Roman" w:eastAsia="仿宋_GB2312"/>
          <w:sz w:val="32"/>
          <w:szCs w:val="32"/>
        </w:rPr>
        <w:t>排查。全年共立案</w:t>
      </w:r>
      <w:r>
        <w:rPr>
          <w:rFonts w:ascii="Times New Roman" w:hAnsi="Times New Roman" w:eastAsia="仿宋_GB2312"/>
          <w:sz w:val="32"/>
          <w:szCs w:val="32"/>
        </w:rPr>
        <w:t>查处2411件、处罚金额1.68亿元，适用《环境保护法》四个配套办法及移送司法机关185件。</w:t>
      </w:r>
    </w:p>
    <w:p>
      <w:pPr>
        <w:adjustRightInd w:val="0"/>
        <w:snapToGrid w:val="0"/>
        <w:spacing w:line="620" w:lineRule="exact"/>
        <w:ind w:firstLine="643" w:firstLineChars="200"/>
        <w:rPr>
          <w:rFonts w:ascii="Times New Roman" w:hAnsi="Times New Roman" w:eastAsia="仿宋_GB2312"/>
          <w:bCs/>
          <w:sz w:val="32"/>
          <w:szCs w:val="32"/>
        </w:rPr>
      </w:pPr>
      <w:r>
        <w:rPr>
          <w:rFonts w:hint="eastAsia" w:ascii="Times New Roman" w:hAnsi="Times New Roman" w:eastAsia="楷体"/>
          <w:b/>
          <w:sz w:val="32"/>
          <w:szCs w:val="32"/>
          <w:lang w:eastAsia="zh-CN"/>
        </w:rPr>
        <w:t>（三）</w:t>
      </w:r>
      <w:r>
        <w:rPr>
          <w:rFonts w:ascii="Times New Roman" w:hAnsi="Times New Roman" w:eastAsia="楷体"/>
          <w:b/>
          <w:sz w:val="32"/>
          <w:szCs w:val="32"/>
        </w:rPr>
        <w:t>积极</w:t>
      </w:r>
      <w:r>
        <w:rPr>
          <w:rFonts w:hint="eastAsia" w:ascii="Times New Roman" w:hAnsi="Times New Roman" w:eastAsia="楷体"/>
          <w:b/>
          <w:sz w:val="32"/>
          <w:szCs w:val="32"/>
        </w:rPr>
        <w:t>推进</w:t>
      </w:r>
      <w:r>
        <w:rPr>
          <w:rFonts w:ascii="Times New Roman" w:hAnsi="Times New Roman" w:eastAsia="楷体"/>
          <w:b/>
          <w:sz w:val="32"/>
          <w:szCs w:val="32"/>
        </w:rPr>
        <w:t>执法方式</w:t>
      </w:r>
      <w:r>
        <w:rPr>
          <w:rFonts w:hint="eastAsia" w:ascii="Times New Roman" w:hAnsi="Times New Roman" w:eastAsia="楷体"/>
          <w:b/>
          <w:sz w:val="32"/>
          <w:szCs w:val="32"/>
        </w:rPr>
        <w:t>转变</w:t>
      </w:r>
      <w:r>
        <w:rPr>
          <w:rFonts w:ascii="Times New Roman" w:hAnsi="Times New Roman" w:eastAsia="楷体"/>
          <w:b/>
          <w:sz w:val="32"/>
          <w:szCs w:val="32"/>
        </w:rPr>
        <w:t>。</w:t>
      </w:r>
      <w:r>
        <w:rPr>
          <w:rFonts w:ascii="Times New Roman" w:hAnsi="Times New Roman" w:eastAsia="仿宋_GB2312"/>
          <w:sz w:val="32"/>
          <w:szCs w:val="32"/>
        </w:rPr>
        <w:t>强化监督执法正面清单执行， 3141家企业纳入正面清单名录，非现场检查6641家次清单内企业；出台奖励举报制度，设立‘环保曝光台’，明确了网格员举报环境违法行为作为奖励的重要情形；</w:t>
      </w:r>
      <w:r>
        <w:rPr>
          <w:rFonts w:hint="eastAsia" w:ascii="Times New Roman" w:hAnsi="Times New Roman" w:eastAsia="仿宋_GB2312"/>
          <w:sz w:val="32"/>
          <w:szCs w:val="32"/>
        </w:rPr>
        <w:t>在</w:t>
      </w:r>
      <w:r>
        <w:rPr>
          <w:rFonts w:ascii="Times New Roman" w:hAnsi="Times New Roman" w:eastAsia="仿宋_GB2312"/>
          <w:sz w:val="32"/>
          <w:szCs w:val="32"/>
        </w:rPr>
        <w:t>全国</w:t>
      </w:r>
      <w:r>
        <w:rPr>
          <w:rFonts w:hint="eastAsia" w:ascii="Times New Roman" w:hAnsi="Times New Roman" w:eastAsia="仿宋_GB2312"/>
          <w:sz w:val="32"/>
          <w:szCs w:val="32"/>
        </w:rPr>
        <w:t>率先出台省级</w:t>
      </w:r>
      <w:r>
        <w:rPr>
          <w:rFonts w:ascii="Times New Roman" w:hAnsi="Times New Roman" w:eastAsia="仿宋_GB2312"/>
          <w:sz w:val="32"/>
          <w:szCs w:val="32"/>
        </w:rPr>
        <w:t>行政处罚信息公开办法</w:t>
      </w:r>
      <w:r>
        <w:rPr>
          <w:rFonts w:ascii="Times New Roman" w:hAnsi="Times New Roman" w:eastAsia="仿宋_GB2312"/>
          <w:bCs/>
          <w:sz w:val="32"/>
          <w:szCs w:val="32"/>
        </w:rPr>
        <w:t>；出台《四川省生态环境保护综合行政执法事项指导目录》，确定181项执法事项；指导成都市郫都区网格化环境监管与“大联动、微治理”社会治理体系深度融合。</w:t>
      </w:r>
    </w:p>
    <w:p>
      <w:pPr>
        <w:adjustRightInd w:val="0"/>
        <w:snapToGrid w:val="0"/>
        <w:spacing w:line="620" w:lineRule="exact"/>
        <w:ind w:firstLine="643" w:firstLineChars="200"/>
        <w:rPr>
          <w:rFonts w:hint="eastAsia" w:ascii="Times New Roman" w:hAnsi="Times New Roman" w:eastAsia="仿宋_GB2312"/>
          <w:bCs/>
          <w:sz w:val="32"/>
          <w:szCs w:val="32"/>
        </w:rPr>
      </w:pPr>
      <w:r>
        <w:rPr>
          <w:rFonts w:hint="eastAsia" w:ascii="Times New Roman" w:hAnsi="Times New Roman" w:eastAsia="楷体"/>
          <w:b/>
          <w:sz w:val="32"/>
          <w:szCs w:val="32"/>
          <w:lang w:eastAsia="zh-CN"/>
        </w:rPr>
        <w:t>（四）</w:t>
      </w:r>
      <w:r>
        <w:rPr>
          <w:rFonts w:hint="eastAsia" w:eastAsia="楷体"/>
          <w:b/>
          <w:sz w:val="32"/>
          <w:szCs w:val="32"/>
          <w:lang w:eastAsia="zh-CN"/>
        </w:rPr>
        <w:t>持续</w:t>
      </w:r>
      <w:r>
        <w:rPr>
          <w:rFonts w:hint="eastAsia" w:ascii="Times New Roman" w:hAnsi="Times New Roman" w:eastAsia="楷体"/>
          <w:b/>
          <w:sz w:val="32"/>
          <w:szCs w:val="32"/>
        </w:rPr>
        <w:t>加强</w:t>
      </w:r>
      <w:r>
        <w:rPr>
          <w:rFonts w:ascii="Times New Roman" w:hAnsi="Times New Roman" w:eastAsia="楷体"/>
          <w:b/>
          <w:sz w:val="32"/>
          <w:szCs w:val="32"/>
        </w:rPr>
        <w:t>执法能力建设。</w:t>
      </w:r>
      <w:r>
        <w:rPr>
          <w:rFonts w:ascii="Times New Roman" w:hAnsi="Times New Roman" w:eastAsia="仿宋_GB2312"/>
          <w:bCs/>
          <w:sz w:val="32"/>
          <w:szCs w:val="32"/>
        </w:rPr>
        <w:t>推动综合行政执法改革落地落实，全省核定参公编制3734名</w:t>
      </w:r>
      <w:r>
        <w:rPr>
          <w:rFonts w:hint="eastAsia" w:eastAsia="仿宋_GB2312"/>
          <w:bCs/>
          <w:sz w:val="32"/>
          <w:szCs w:val="32"/>
          <w:lang w:eastAsia="zh-CN"/>
        </w:rPr>
        <w:t>，</w:t>
      </w:r>
      <w:r>
        <w:rPr>
          <w:rFonts w:ascii="Times New Roman" w:hAnsi="Times New Roman" w:eastAsia="仿宋_GB2312"/>
          <w:bCs/>
          <w:sz w:val="32"/>
          <w:szCs w:val="32"/>
        </w:rPr>
        <w:t>增加114名，</w:t>
      </w:r>
      <w:r>
        <w:rPr>
          <w:rFonts w:ascii="Times New Roman" w:hAnsi="Times New Roman" w:eastAsia="仿宋_GB2312"/>
          <w:sz w:val="32"/>
          <w:szCs w:val="32"/>
        </w:rPr>
        <w:t>成都、自贡等14个市（州）完成市级</w:t>
      </w:r>
      <w:r>
        <w:rPr>
          <w:rFonts w:hint="eastAsia" w:eastAsia="仿宋_GB2312"/>
          <w:sz w:val="32"/>
          <w:szCs w:val="32"/>
          <w:lang w:eastAsia="zh-CN"/>
        </w:rPr>
        <w:t>机构</w:t>
      </w:r>
      <w:r>
        <w:rPr>
          <w:rFonts w:ascii="Times New Roman" w:hAnsi="Times New Roman" w:eastAsia="仿宋_GB2312"/>
          <w:sz w:val="32"/>
          <w:szCs w:val="32"/>
        </w:rPr>
        <w:t>挂牌，132个县（市、区）实行“局队合一”。</w:t>
      </w:r>
      <w:r>
        <w:rPr>
          <w:rFonts w:ascii="Times New Roman" w:hAnsi="Times New Roman" w:eastAsia="仿宋_GB2312"/>
          <w:bCs/>
          <w:sz w:val="32"/>
          <w:szCs w:val="32"/>
        </w:rPr>
        <w:t>开展业务标兵和岗位能手</w:t>
      </w:r>
      <w:r>
        <w:rPr>
          <w:rFonts w:hint="eastAsia" w:ascii="Times New Roman" w:hAnsi="Times New Roman" w:eastAsia="仿宋_GB2312"/>
          <w:bCs/>
          <w:sz w:val="32"/>
          <w:szCs w:val="32"/>
        </w:rPr>
        <w:t>比赛</w:t>
      </w:r>
      <w:r>
        <w:rPr>
          <w:rFonts w:ascii="Times New Roman" w:hAnsi="Times New Roman" w:eastAsia="仿宋_GB2312"/>
          <w:bCs/>
          <w:sz w:val="32"/>
          <w:szCs w:val="32"/>
        </w:rPr>
        <w:t>，从全省121名参赛选手中</w:t>
      </w:r>
      <w:r>
        <w:rPr>
          <w:rFonts w:hint="eastAsia" w:ascii="Times New Roman" w:hAnsi="Times New Roman" w:eastAsia="仿宋_GB2312"/>
          <w:bCs/>
          <w:sz w:val="32"/>
          <w:szCs w:val="32"/>
        </w:rPr>
        <w:t>选</w:t>
      </w:r>
      <w:r>
        <w:rPr>
          <w:rFonts w:ascii="Times New Roman" w:hAnsi="Times New Roman" w:eastAsia="仿宋_GB2312"/>
          <w:bCs/>
          <w:sz w:val="32"/>
          <w:szCs w:val="32"/>
        </w:rPr>
        <w:t>出</w:t>
      </w:r>
      <w:r>
        <w:rPr>
          <w:rFonts w:hint="eastAsia" w:ascii="Times New Roman" w:hAnsi="Times New Roman" w:eastAsia="仿宋_GB2312"/>
          <w:bCs/>
          <w:sz w:val="32"/>
          <w:szCs w:val="32"/>
        </w:rPr>
        <w:t>30位能手</w:t>
      </w:r>
      <w:r>
        <w:rPr>
          <w:rFonts w:ascii="Times New Roman" w:hAnsi="Times New Roman" w:eastAsia="仿宋_GB2312"/>
          <w:bCs/>
          <w:sz w:val="32"/>
          <w:szCs w:val="32"/>
        </w:rPr>
        <w:t>10名标兵。强化执法装备建设，编制</w:t>
      </w:r>
      <w:r>
        <w:rPr>
          <w:rFonts w:hint="eastAsia" w:ascii="Times New Roman" w:hAnsi="Times New Roman" w:eastAsia="仿宋_GB2312"/>
          <w:bCs/>
          <w:sz w:val="32"/>
          <w:szCs w:val="32"/>
        </w:rPr>
        <w:t>环境</w:t>
      </w:r>
      <w:r>
        <w:rPr>
          <w:rFonts w:ascii="Times New Roman" w:hAnsi="Times New Roman" w:eastAsia="仿宋_GB2312"/>
          <w:bCs/>
          <w:sz w:val="32"/>
          <w:szCs w:val="32"/>
        </w:rPr>
        <w:t>执法三年能力</w:t>
      </w:r>
      <w:r>
        <w:rPr>
          <w:rFonts w:hint="eastAsia" w:ascii="Times New Roman" w:hAnsi="Times New Roman" w:eastAsia="仿宋_GB2312"/>
          <w:bCs/>
          <w:sz w:val="32"/>
          <w:szCs w:val="32"/>
        </w:rPr>
        <w:t>提升计</w:t>
      </w:r>
      <w:r>
        <w:rPr>
          <w:rFonts w:ascii="Times New Roman" w:hAnsi="Times New Roman" w:eastAsia="仿宋_GB2312"/>
          <w:bCs/>
          <w:sz w:val="32"/>
          <w:szCs w:val="32"/>
        </w:rPr>
        <w:t>划，</w:t>
      </w:r>
      <w:r>
        <w:rPr>
          <w:rFonts w:hint="eastAsia" w:ascii="Times New Roman" w:hAnsi="Times New Roman" w:eastAsia="仿宋_GB2312"/>
          <w:bCs/>
          <w:sz w:val="32"/>
          <w:szCs w:val="32"/>
        </w:rPr>
        <w:t>争取省财政支持，</w:t>
      </w:r>
      <w:r>
        <w:rPr>
          <w:rFonts w:hint="eastAsia" w:eastAsia="仿宋_GB2312"/>
          <w:bCs/>
          <w:sz w:val="32"/>
          <w:szCs w:val="32"/>
          <w:lang w:eastAsia="zh-CN"/>
        </w:rPr>
        <w:t>全省</w:t>
      </w:r>
      <w:r>
        <w:rPr>
          <w:rFonts w:ascii="Times New Roman" w:hAnsi="Times New Roman" w:eastAsia="仿宋_GB2312"/>
          <w:bCs/>
          <w:sz w:val="32"/>
          <w:szCs w:val="32"/>
        </w:rPr>
        <w:t>增</w:t>
      </w:r>
      <w:r>
        <w:rPr>
          <w:rFonts w:hint="eastAsia" w:ascii="Times New Roman" w:hAnsi="Times New Roman" w:eastAsia="仿宋_GB2312"/>
          <w:bCs/>
          <w:sz w:val="32"/>
          <w:szCs w:val="32"/>
        </w:rPr>
        <w:t>换</w:t>
      </w:r>
      <w:r>
        <w:rPr>
          <w:rFonts w:ascii="Times New Roman" w:hAnsi="Times New Roman" w:eastAsia="仿宋_GB2312"/>
          <w:bCs/>
          <w:sz w:val="32"/>
          <w:szCs w:val="32"/>
        </w:rPr>
        <w:t>326台执法执勤车。</w:t>
      </w:r>
    </w:p>
    <w:p>
      <w:pPr>
        <w:adjustRightInd w:val="0"/>
        <w:snapToGrid w:val="0"/>
        <w:spacing w:line="620" w:lineRule="exact"/>
        <w:ind w:firstLine="643" w:firstLineChars="200"/>
        <w:rPr>
          <w:rFonts w:ascii="Times New Roman" w:hAnsi="Times New Roman" w:eastAsia="仿宋_GB2312"/>
          <w:sz w:val="32"/>
          <w:szCs w:val="32"/>
        </w:rPr>
      </w:pPr>
      <w:r>
        <w:rPr>
          <w:rFonts w:hint="eastAsia" w:ascii="Times New Roman" w:hAnsi="Times New Roman" w:eastAsia="楷体"/>
          <w:b/>
          <w:sz w:val="32"/>
          <w:szCs w:val="32"/>
          <w:lang w:eastAsia="zh-CN"/>
        </w:rPr>
        <w:t>（五）</w:t>
      </w:r>
      <w:r>
        <w:rPr>
          <w:rFonts w:hint="eastAsia" w:eastAsia="楷体"/>
          <w:b/>
          <w:sz w:val="32"/>
          <w:szCs w:val="32"/>
          <w:lang w:eastAsia="zh-CN"/>
        </w:rPr>
        <w:t>推进跨区域跨部门</w:t>
      </w:r>
      <w:r>
        <w:rPr>
          <w:rFonts w:ascii="Times New Roman" w:hAnsi="Times New Roman" w:eastAsia="楷体"/>
          <w:b/>
          <w:sz w:val="32"/>
          <w:szCs w:val="32"/>
        </w:rPr>
        <w:t>联合执法。</w:t>
      </w:r>
      <w:r>
        <w:rPr>
          <w:rFonts w:ascii="Times New Roman" w:hAnsi="Times New Roman" w:eastAsia="仿宋_GB2312"/>
          <w:sz w:val="32"/>
          <w:szCs w:val="32"/>
        </w:rPr>
        <w:t>与重庆市签订</w:t>
      </w:r>
      <w:r>
        <w:rPr>
          <w:rFonts w:hint="eastAsia" w:ascii="Times New Roman" w:hAnsi="Times New Roman" w:eastAsia="仿宋_GB2312"/>
          <w:sz w:val="32"/>
          <w:szCs w:val="32"/>
        </w:rPr>
        <w:t>川渝两地生态环境保护</w:t>
      </w:r>
      <w:r>
        <w:rPr>
          <w:rFonts w:ascii="Times New Roman" w:hAnsi="Times New Roman" w:eastAsia="仿宋_GB2312"/>
          <w:sz w:val="32"/>
          <w:szCs w:val="32"/>
        </w:rPr>
        <w:t>《联合执法工作机制》</w:t>
      </w:r>
      <w:r>
        <w:rPr>
          <w:rFonts w:hint="eastAsia" w:ascii="Times New Roman" w:hAnsi="Times New Roman" w:eastAsia="仿宋_GB2312"/>
          <w:sz w:val="32"/>
          <w:szCs w:val="32"/>
        </w:rPr>
        <w:t>；</w:t>
      </w:r>
      <w:r>
        <w:rPr>
          <w:rFonts w:ascii="Times New Roman" w:hAnsi="Times New Roman" w:eastAsia="仿宋_GB2312"/>
          <w:sz w:val="32"/>
          <w:szCs w:val="32"/>
        </w:rPr>
        <w:t>牵头启动“川渝共护濑溪河”专项行动</w:t>
      </w:r>
      <w:r>
        <w:rPr>
          <w:rFonts w:hint="eastAsia" w:ascii="Times New Roman" w:hAnsi="Times New Roman" w:eastAsia="仿宋_GB2312"/>
          <w:sz w:val="32"/>
          <w:szCs w:val="32"/>
        </w:rPr>
        <w:t>；</w:t>
      </w:r>
      <w:r>
        <w:rPr>
          <w:rFonts w:ascii="Times New Roman" w:hAnsi="Times New Roman" w:eastAsia="仿宋_GB2312"/>
          <w:sz w:val="32"/>
          <w:szCs w:val="32"/>
        </w:rPr>
        <w:t>开展川滇联合环境执法。持续深化行刑衔接，</w:t>
      </w:r>
      <w:r>
        <w:rPr>
          <w:rFonts w:hint="eastAsia" w:ascii="Times New Roman" w:hAnsi="Times New Roman" w:eastAsia="仿宋_GB2312"/>
          <w:sz w:val="32"/>
          <w:szCs w:val="32"/>
        </w:rPr>
        <w:t>与公安厅、高法、高</w:t>
      </w:r>
      <w:r>
        <w:rPr>
          <w:rFonts w:ascii="Times New Roman" w:hAnsi="Times New Roman" w:eastAsia="仿宋_GB2312"/>
          <w:sz w:val="32"/>
          <w:szCs w:val="32"/>
        </w:rPr>
        <w:t>检联合印发《关于加强生态环境保护行政执法与司法联动协作意见》，</w:t>
      </w:r>
      <w:r>
        <w:rPr>
          <w:rFonts w:hint="eastAsia" w:ascii="Times New Roman" w:hAnsi="Times New Roman" w:eastAsia="仿宋_GB2312"/>
          <w:sz w:val="32"/>
          <w:szCs w:val="32"/>
        </w:rPr>
        <w:t>全年</w:t>
      </w:r>
      <w:r>
        <w:rPr>
          <w:rFonts w:ascii="Times New Roman" w:hAnsi="Times New Roman" w:eastAsia="仿宋_GB2312"/>
          <w:sz w:val="32"/>
          <w:szCs w:val="32"/>
        </w:rPr>
        <w:t>移送行政拘留案件60件，涉嫌环境犯罪案件8件。</w:t>
      </w:r>
    </w:p>
    <w:p>
      <w:pPr>
        <w:pStyle w:val="31"/>
        <w:overflowPunct w:val="0"/>
        <w:topLinePunct/>
        <w:spacing w:line="600" w:lineRule="exact"/>
        <w:ind w:left="0" w:leftChars="0" w:firstLine="0" w:firstLineChars="0"/>
        <w:rPr>
          <w:rFonts w:hint="eastAsia" w:ascii="黑体" w:hAnsi="黑体" w:eastAsia="黑体" w:cstheme="majorBidi"/>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theme="majorBidi"/>
          <w:b w:val="0"/>
          <w:bCs/>
          <w:color w:val="000000" w:themeColor="text1"/>
          <w:kern w:val="2"/>
          <w:sz w:val="32"/>
          <w:szCs w:val="32"/>
          <w:lang w:val="en-US" w:eastAsia="zh-CN" w:bidi="ar-SA"/>
          <w14:textFill>
            <w14:solidFill>
              <w14:schemeClr w14:val="tx1"/>
            </w14:solidFill>
          </w14:textFill>
        </w:rPr>
        <w:t xml:space="preserve">   </w:t>
      </w:r>
      <w:r>
        <w:rPr>
          <w:rStyle w:val="26"/>
          <w:rFonts w:hint="eastAsia"/>
          <w:color w:val="auto"/>
          <w:lang w:val="en-US" w:eastAsia="zh-CN" w:bidi="ar-SA"/>
        </w:rPr>
        <w:t>三、机构设置情况</w:t>
      </w:r>
    </w:p>
    <w:p>
      <w:pPr>
        <w:pStyle w:val="31"/>
        <w:numPr>
          <w:ilvl w:val="0"/>
          <w:numId w:val="0"/>
        </w:numPr>
        <w:spacing w:line="560" w:lineRule="exact"/>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pPr>
      <w:r>
        <w:rPr>
          <w:rFonts w:hint="eastAsia" w:ascii="黑体" w:hAnsi="黑体" w:eastAsia="黑体" w:cstheme="majorBidi"/>
          <w:b w:val="0"/>
          <w:bCs/>
          <w:color w:val="000000" w:themeColor="text1"/>
          <w:kern w:val="2"/>
          <w:sz w:val="32"/>
          <w:szCs w:val="32"/>
          <w:lang w:val="en-US" w:eastAsia="zh-CN" w:bidi="ar-SA"/>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总队由</w:t>
      </w:r>
      <w:r>
        <w:rPr>
          <w:rFonts w:hint="eastAsia" w:hAnsi="仿宋_GB2312" w:cs="仿宋_GB2312"/>
          <w:b w:val="0"/>
          <w:bCs w:val="0"/>
          <w:color w:val="000000" w:themeColor="text1"/>
          <w:kern w:val="0"/>
          <w:sz w:val="32"/>
          <w:szCs w:val="32"/>
          <w:lang w:val="en-US" w:eastAsia="zh-CN" w:bidi="ar-SA"/>
          <w14:textFill>
            <w14:solidFill>
              <w14:schemeClr w14:val="tx1"/>
            </w14:solidFill>
          </w14:textFill>
        </w:rPr>
        <w:t>8</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个支队（室）组成，分别是办公室、法制支队、</w:t>
      </w:r>
      <w:r>
        <w:rPr>
          <w:rFonts w:hint="eastAsia" w:ascii="仿宋_GB2312" w:hAnsi="仿宋_GB2312" w:eastAsia="仿宋_GB2312" w:cs="仿宋_GB2312"/>
          <w:b w:val="0"/>
          <w:bCs w:val="0"/>
          <w:color w:val="000000" w:themeColor="text1"/>
          <w:kern w:val="0"/>
          <w:sz w:val="32"/>
          <w:szCs w:val="32"/>
          <w:lang w:val="zh-CN" w:eastAsia="zh-CN" w:bidi="ar-SA"/>
          <w14:textFill>
            <w14:solidFill>
              <w14:schemeClr w14:val="tx1"/>
            </w14:solidFill>
          </w14:textFill>
        </w:rPr>
        <w:t>网络和信息化支队</w:t>
      </w:r>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、执法一支队、执法二支队、执法三支队、执法四支队、执法五支队</w:t>
      </w:r>
      <w:bookmarkStart w:id="67" w:name="_GoBack"/>
      <w:bookmarkEnd w:id="67"/>
      <w:r>
        <w:rPr>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w:t>
      </w:r>
    </w:p>
    <w:p>
      <w:pPr>
        <w:widowControl/>
        <w:jc w:val="left"/>
        <w:rPr>
          <w:rFonts w:eastAsia="仿宋_GB2312" w:cs="仿宋_GB2312"/>
          <w:color w:val="000000" w:themeColor="text1"/>
          <w:kern w:val="0"/>
          <w:sz w:val="32"/>
          <w:szCs w:val="32"/>
          <w14:textFill>
            <w14:solidFill>
              <w14:schemeClr w14:val="tx1"/>
            </w14:solidFill>
          </w14:textFill>
        </w:rPr>
      </w:pPr>
      <w:r>
        <w:rPr>
          <w:rFonts w:eastAsia="仿宋_GB2312" w:cs="仿宋_GB2312"/>
          <w:b/>
          <w:bCs/>
          <w:color w:val="000000" w:themeColor="text1"/>
          <w:kern w:val="0"/>
          <w:sz w:val="32"/>
          <w:szCs w:val="32"/>
          <w14:textFill>
            <w14:solidFill>
              <w14:schemeClr w14:val="tx1"/>
            </w14:solidFill>
          </w14:textFill>
        </w:rPr>
        <w:br w:type="page"/>
      </w:r>
    </w:p>
    <w:p>
      <w:pPr>
        <w:pStyle w:val="2"/>
      </w:pPr>
    </w:p>
    <w:p>
      <w:pPr>
        <w:widowControl/>
        <w:jc w:val="center"/>
        <w:rPr>
          <w:rStyle w:val="25"/>
          <w:rFonts w:ascii="黑体" w:hAnsi="黑体" w:eastAsia="黑体"/>
          <w:b w:val="0"/>
          <w:bCs/>
          <w:color w:val="auto"/>
        </w:rPr>
      </w:pPr>
      <w:bookmarkStart w:id="16" w:name="_Toc15377204"/>
      <w:bookmarkStart w:id="17" w:name="_Toc15396602"/>
      <w:r>
        <w:rPr>
          <w:rFonts w:hint="eastAsia" w:ascii="黑体" w:hAnsi="黑体" w:eastAsia="黑体"/>
          <w:b w:val="0"/>
          <w:bCs/>
          <w:color w:val="auto"/>
          <w:sz w:val="44"/>
          <w:szCs w:val="44"/>
        </w:rPr>
        <w:t xml:space="preserve">第二部分 </w:t>
      </w:r>
      <w:r>
        <w:rPr>
          <w:rFonts w:hint="eastAsia" w:ascii="黑体" w:hAnsi="黑体" w:eastAsia="黑体"/>
          <w:b w:val="0"/>
          <w:bCs/>
          <w:color w:val="auto"/>
          <w:sz w:val="44"/>
          <w:szCs w:val="44"/>
          <w:lang w:val="en-US" w:eastAsia="zh-CN"/>
        </w:rPr>
        <w:t>2020年度</w:t>
      </w:r>
      <w:r>
        <w:rPr>
          <w:rStyle w:val="25"/>
          <w:rFonts w:hint="eastAsia" w:ascii="黑体" w:hAnsi="黑体" w:eastAsia="黑体"/>
          <w:b w:val="0"/>
          <w:bCs/>
          <w:color w:val="auto"/>
          <w:sz w:val="44"/>
          <w:szCs w:val="44"/>
        </w:rPr>
        <w:t>部门决算情况说明</w:t>
      </w:r>
      <w:bookmarkEnd w:id="16"/>
      <w:bookmarkEnd w:id="17"/>
    </w:p>
    <w:p>
      <w:pPr>
        <w:rPr>
          <w:color w:val="auto"/>
        </w:rPr>
      </w:pPr>
    </w:p>
    <w:p>
      <w:pPr>
        <w:pStyle w:val="24"/>
        <w:numPr>
          <w:ilvl w:val="0"/>
          <w:numId w:val="2"/>
        </w:numPr>
        <w:spacing w:line="600" w:lineRule="exact"/>
        <w:ind w:firstLineChars="0"/>
        <w:outlineLvl w:val="1"/>
        <w:rPr>
          <w:rStyle w:val="26"/>
          <w:rFonts w:ascii="黑体" w:hAnsi="黑体" w:eastAsia="黑体"/>
          <w:b w:val="0"/>
          <w:color w:val="auto"/>
        </w:rPr>
      </w:pPr>
      <w:bookmarkStart w:id="18" w:name="_Toc15377205"/>
      <w:bookmarkStart w:id="19" w:name="_Toc15396603"/>
      <w:r>
        <w:rPr>
          <w:rFonts w:hint="eastAsia" w:ascii="黑体" w:hAnsi="黑体" w:eastAsia="黑体"/>
          <w:color w:val="auto"/>
          <w:sz w:val="32"/>
          <w:szCs w:val="32"/>
        </w:rPr>
        <w:t>收</w:t>
      </w:r>
      <w:r>
        <w:rPr>
          <w:rStyle w:val="26"/>
          <w:rFonts w:hint="eastAsia" w:ascii="黑体" w:hAnsi="黑体" w:eastAsia="黑体"/>
          <w:b w:val="0"/>
          <w:color w:val="auto"/>
        </w:rPr>
        <w:t>入支出决算总体情况说明</w:t>
      </w:r>
      <w:bookmarkEnd w:id="18"/>
      <w:bookmarkEnd w:id="19"/>
    </w:p>
    <w:p>
      <w:pPr>
        <w:spacing w:line="600" w:lineRule="exact"/>
        <w:ind w:firstLine="640" w:firstLineChars="200"/>
        <w:rPr>
          <w:rFonts w:hint="eastAsia" w:ascii="仿宋" w:hAnsi="仿宋" w:eastAsia="仿宋"/>
          <w:color w:val="auto"/>
          <w:sz w:val="32"/>
          <w:szCs w:val="32"/>
          <w:lang w:val="en-US" w:eastAsia="zh-CN"/>
        </w:rPr>
      </w:pPr>
      <w:r>
        <w:rPr>
          <w:rFonts w:hint="eastAsia"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年度收、支总计</w:t>
      </w:r>
      <w:r>
        <w:rPr>
          <w:rFonts w:hint="eastAsia" w:ascii="仿宋" w:hAnsi="仿宋" w:eastAsia="仿宋"/>
          <w:color w:val="auto"/>
          <w:sz w:val="32"/>
          <w:szCs w:val="32"/>
          <w:lang w:val="en-US" w:eastAsia="zh-CN"/>
        </w:rPr>
        <w:t>2552.34</w:t>
      </w:r>
      <w:r>
        <w:rPr>
          <w:rFonts w:hint="eastAsia" w:ascii="仿宋" w:hAnsi="仿宋" w:eastAsia="仿宋"/>
          <w:color w:val="auto"/>
          <w:sz w:val="32"/>
          <w:szCs w:val="32"/>
        </w:rPr>
        <w:t>万元。与201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年相比，收、支总计各减少</w:t>
      </w:r>
      <w:r>
        <w:rPr>
          <w:rFonts w:hint="eastAsia" w:ascii="仿宋" w:hAnsi="仿宋" w:eastAsia="仿宋"/>
          <w:color w:val="auto"/>
          <w:sz w:val="32"/>
          <w:szCs w:val="32"/>
          <w:lang w:val="en-US" w:eastAsia="zh-CN"/>
        </w:rPr>
        <w:t>2747.43</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51.84</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：一是</w:t>
      </w:r>
      <w:r>
        <w:rPr>
          <w:rFonts w:hint="eastAsia" w:ascii="仿宋" w:hAnsi="仿宋" w:eastAsia="仿宋"/>
          <w:color w:val="auto"/>
          <w:sz w:val="32"/>
          <w:szCs w:val="32"/>
          <w:lang w:val="en-US" w:eastAsia="zh-CN"/>
        </w:rPr>
        <w:t>2019年长江入河排污口排查整治无人机航测项目2420.65万元，该项目属于一次性项目；二是受疫情影响，同时落实政府过紧日子要求，减少培训费、差旅费、接待费等支出。</w:t>
      </w:r>
    </w:p>
    <w:p>
      <w:pPr>
        <w:pStyle w:val="2"/>
        <w:rPr>
          <w:rFonts w:hint="eastAsia" w:ascii="仿宋" w:hAnsi="仿宋" w:eastAsia="仿宋"/>
          <w:color w:val="auto"/>
          <w:sz w:val="32"/>
          <w:szCs w:val="32"/>
          <w:lang w:val="en-US" w:eastAsia="zh-CN"/>
        </w:rPr>
      </w:pPr>
    </w:p>
    <w:p>
      <w:pPr>
        <w:pStyle w:val="2"/>
        <w:jc w:val="center"/>
        <w:rPr>
          <w:rFonts w:hint="eastAsia" w:ascii="仿宋" w:hAnsi="仿宋" w:eastAsia="仿宋"/>
          <w:color w:val="auto"/>
          <w:sz w:val="32"/>
          <w:szCs w:val="32"/>
          <w:lang w:val="en-US" w:eastAsia="zh-CN"/>
        </w:rPr>
      </w:pPr>
      <w:r>
        <w:drawing>
          <wp:inline distT="0" distB="0" distL="114300" distR="114300">
            <wp:extent cx="3362325" cy="2520950"/>
            <wp:effectExtent l="4445" t="4445" r="5080" b="825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rPr>
          <w:rFonts w:ascii="仿宋_GB2312" w:eastAsia="仿宋_GB2312"/>
          <w:color w:val="auto"/>
          <w:sz w:val="32"/>
          <w:szCs w:val="32"/>
        </w:rPr>
      </w:pPr>
      <w:r>
        <w:rPr>
          <w:rFonts w:hint="eastAsia" w:ascii="仿宋_GB2312" w:hAnsi="仿宋_GB2312" w:eastAsia="仿宋_GB2312" w:cs="仿宋_GB2312"/>
          <w:i w:val="0"/>
          <w:caps w:val="0"/>
          <w:color w:val="595959"/>
          <w:spacing w:val="0"/>
          <w:sz w:val="32"/>
          <w:szCs w:val="32"/>
          <w:shd w:val="clear" w:fill="FFFFFF"/>
        </w:rPr>
        <w:t>（图1：收、支决算总计变动情况图）（柱状图，单位：万元）</w:t>
      </w:r>
    </w:p>
    <w:p>
      <w:pPr>
        <w:pStyle w:val="24"/>
        <w:numPr>
          <w:ilvl w:val="0"/>
          <w:numId w:val="2"/>
        </w:numPr>
        <w:spacing w:line="600" w:lineRule="exact"/>
        <w:ind w:firstLineChars="0"/>
        <w:outlineLvl w:val="1"/>
        <w:rPr>
          <w:rStyle w:val="26"/>
          <w:rFonts w:ascii="黑体" w:hAnsi="黑体" w:eastAsia="黑体"/>
          <w:b w:val="0"/>
          <w:color w:val="auto"/>
        </w:rPr>
      </w:pPr>
      <w:bookmarkStart w:id="20" w:name="_Toc15377206"/>
      <w:bookmarkStart w:id="21" w:name="_Toc15396604"/>
      <w:r>
        <w:rPr>
          <w:rFonts w:hint="eastAsia" w:ascii="黑体" w:hAnsi="黑体" w:eastAsia="黑体"/>
          <w:color w:val="auto"/>
          <w:sz w:val="32"/>
          <w:szCs w:val="32"/>
        </w:rPr>
        <w:t>收</w:t>
      </w:r>
      <w:r>
        <w:rPr>
          <w:rStyle w:val="26"/>
          <w:rFonts w:hint="eastAsia" w:ascii="黑体" w:hAnsi="黑体" w:eastAsia="黑体"/>
          <w:b w:val="0"/>
          <w:color w:val="auto"/>
        </w:rPr>
        <w:t>入决算情况说明</w:t>
      </w:r>
      <w:bookmarkEnd w:id="20"/>
      <w:bookmarkEnd w:id="21"/>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年本年收入合计</w:t>
      </w:r>
      <w:r>
        <w:rPr>
          <w:rFonts w:hint="eastAsia" w:ascii="仿宋" w:hAnsi="仿宋" w:eastAsia="仿宋"/>
          <w:color w:val="auto"/>
          <w:sz w:val="32"/>
          <w:szCs w:val="32"/>
          <w:lang w:val="en-US" w:eastAsia="zh-CN"/>
        </w:rPr>
        <w:t>2502.66</w:t>
      </w:r>
      <w:r>
        <w:rPr>
          <w:rFonts w:hint="eastAsia" w:ascii="仿宋" w:hAnsi="仿宋" w:eastAsia="仿宋"/>
          <w:color w:val="auto"/>
          <w:sz w:val="32"/>
          <w:szCs w:val="32"/>
        </w:rPr>
        <w:t>万元，其中：一般公共预算财政拨款收入</w:t>
      </w:r>
      <w:r>
        <w:rPr>
          <w:rFonts w:hint="eastAsia" w:ascii="仿宋" w:hAnsi="仿宋" w:eastAsia="仿宋"/>
          <w:color w:val="auto"/>
          <w:sz w:val="32"/>
          <w:szCs w:val="32"/>
          <w:lang w:val="en-US" w:eastAsia="zh-CN"/>
        </w:rPr>
        <w:t>2502.66</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100</w:t>
      </w:r>
      <w:r>
        <w:rPr>
          <w:rFonts w:ascii="仿宋" w:hAnsi="仿宋" w:eastAsia="仿宋"/>
          <w:color w:val="auto"/>
          <w:sz w:val="32"/>
          <w:szCs w:val="32"/>
        </w:rPr>
        <w:t>%</w:t>
      </w:r>
      <w:r>
        <w:rPr>
          <w:rFonts w:hint="eastAsia" w:ascii="仿宋" w:hAnsi="仿宋" w:eastAsia="仿宋"/>
          <w:color w:val="auto"/>
          <w:sz w:val="32"/>
          <w:szCs w:val="32"/>
        </w:rPr>
        <w:t>；政府性基金预算财政拨款收入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；上级补助收入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；事业收入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；附属单位上缴收入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；其他收入</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auto"/>
          <w:sz w:val="32"/>
          <w:szCs w:val="32"/>
          <w:lang w:eastAsia="zh-CN"/>
        </w:rPr>
        <w:t>上年结转</w:t>
      </w:r>
      <w:r>
        <w:rPr>
          <w:rFonts w:hint="eastAsia" w:ascii="仿宋" w:hAnsi="仿宋" w:eastAsia="仿宋"/>
          <w:color w:val="auto"/>
          <w:sz w:val="32"/>
          <w:szCs w:val="32"/>
          <w:lang w:val="en-US" w:eastAsia="zh-CN"/>
        </w:rPr>
        <w:t>49.68万元。</w:t>
      </w:r>
    </w:p>
    <w:p>
      <w:pPr>
        <w:spacing w:line="600" w:lineRule="exact"/>
        <w:ind w:firstLine="643" w:firstLineChars="200"/>
        <w:outlineLvl w:val="1"/>
        <w:rPr>
          <w:rFonts w:ascii="仿宋" w:hAnsi="仿宋" w:eastAsia="仿宋"/>
          <w:b/>
          <w:color w:val="auto"/>
          <w:sz w:val="32"/>
          <w:szCs w:val="32"/>
        </w:rPr>
      </w:pPr>
      <w:r>
        <w:rPr>
          <w:rFonts w:hint="eastAsia" w:ascii="仿宋" w:hAnsi="仿宋" w:eastAsia="仿宋"/>
          <w:b/>
          <w:color w:val="auto"/>
          <w:sz w:val="32"/>
          <w:szCs w:val="32"/>
        </w:rPr>
        <w:t>（注：数据来源于财决</w:t>
      </w:r>
      <w:r>
        <w:rPr>
          <w:rFonts w:ascii="仿宋" w:hAnsi="仿宋" w:eastAsia="仿宋"/>
          <w:b/>
          <w:color w:val="auto"/>
          <w:sz w:val="32"/>
          <w:szCs w:val="32"/>
        </w:rPr>
        <w:t>01表）</w:t>
      </w:r>
    </w:p>
    <w:p>
      <w:pPr>
        <w:pStyle w:val="2"/>
        <w:rPr>
          <w:rFonts w:ascii="仿宋" w:hAnsi="仿宋" w:eastAsia="仿宋"/>
          <w:b/>
          <w:color w:val="auto"/>
          <w:sz w:val="32"/>
          <w:szCs w:val="32"/>
        </w:rPr>
      </w:pPr>
    </w:p>
    <w:p>
      <w:pPr>
        <w:pStyle w:val="2"/>
        <w:rPr>
          <w:rFonts w:ascii="仿宋" w:hAnsi="仿宋" w:eastAsia="仿宋"/>
          <w:b/>
          <w:color w:val="auto"/>
          <w:sz w:val="32"/>
          <w:szCs w:val="32"/>
        </w:rPr>
      </w:pPr>
      <w:r>
        <w:drawing>
          <wp:inline distT="0" distB="0" distL="114300" distR="114300">
            <wp:extent cx="4572000" cy="27432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outlineLvl w:val="1"/>
        <w:rPr>
          <w:rFonts w:ascii="仿宋" w:hAnsi="仿宋" w:eastAsia="仿宋"/>
          <w:color w:val="auto"/>
          <w:sz w:val="32"/>
          <w:szCs w:val="32"/>
        </w:rPr>
      </w:pPr>
    </w:p>
    <w:p>
      <w:pPr>
        <w:spacing w:line="600" w:lineRule="exact"/>
        <w:ind w:firstLine="640" w:firstLineChars="200"/>
        <w:rPr>
          <w:rFonts w:ascii="仿宋_GB2312" w:eastAsia="仿宋_GB2312"/>
          <w:color w:val="auto"/>
          <w:sz w:val="32"/>
          <w:szCs w:val="32"/>
        </w:rPr>
      </w:pPr>
      <w:r>
        <w:rPr>
          <w:rFonts w:hint="eastAsia" w:ascii="仿宋" w:hAnsi="仿宋" w:eastAsia="仿宋"/>
          <w:color w:val="auto"/>
          <w:sz w:val="32"/>
          <w:szCs w:val="32"/>
        </w:rPr>
        <w:t>（图2：收入决算结构图）</w:t>
      </w:r>
    </w:p>
    <w:p>
      <w:pPr>
        <w:pStyle w:val="24"/>
        <w:numPr>
          <w:ilvl w:val="0"/>
          <w:numId w:val="2"/>
        </w:numPr>
        <w:spacing w:line="600" w:lineRule="exact"/>
        <w:ind w:firstLineChars="0"/>
        <w:outlineLvl w:val="1"/>
        <w:rPr>
          <w:rStyle w:val="26"/>
          <w:rFonts w:ascii="黑体" w:hAnsi="黑体" w:eastAsia="黑体"/>
          <w:b w:val="0"/>
          <w:color w:val="auto"/>
        </w:rPr>
      </w:pPr>
      <w:bookmarkStart w:id="22" w:name="_Toc15396605"/>
      <w:bookmarkStart w:id="23" w:name="_Toc15377207"/>
      <w:r>
        <w:rPr>
          <w:rFonts w:hint="eastAsia" w:ascii="黑体" w:hAnsi="黑体" w:eastAsia="黑体"/>
          <w:color w:val="auto"/>
          <w:sz w:val="32"/>
          <w:szCs w:val="32"/>
        </w:rPr>
        <w:t>支</w:t>
      </w:r>
      <w:r>
        <w:rPr>
          <w:rStyle w:val="26"/>
          <w:rFonts w:hint="eastAsia" w:ascii="黑体" w:hAnsi="黑体" w:eastAsia="黑体"/>
          <w:b w:val="0"/>
          <w:color w:val="auto"/>
        </w:rPr>
        <w:t>出决算情况说明</w:t>
      </w:r>
      <w:bookmarkEnd w:id="22"/>
      <w:bookmarkEnd w:id="23"/>
    </w:p>
    <w:p>
      <w:pPr>
        <w:spacing w:line="600" w:lineRule="exact"/>
        <w:ind w:firstLine="640" w:firstLineChars="200"/>
        <w:outlineLvl w:val="1"/>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年支出合计</w:t>
      </w:r>
      <w:r>
        <w:rPr>
          <w:rFonts w:hint="eastAsia" w:ascii="仿宋" w:hAnsi="仿宋" w:eastAsia="仿宋"/>
          <w:color w:val="auto"/>
          <w:sz w:val="32"/>
          <w:szCs w:val="32"/>
          <w:lang w:val="en-US" w:eastAsia="zh-CN"/>
        </w:rPr>
        <w:t>2552.34</w:t>
      </w:r>
      <w:r>
        <w:rPr>
          <w:rFonts w:hint="eastAsia" w:ascii="仿宋" w:hAnsi="仿宋" w:eastAsia="仿宋"/>
          <w:color w:val="auto"/>
          <w:sz w:val="32"/>
          <w:szCs w:val="32"/>
        </w:rPr>
        <w:t>万元，其中：基本支出</w:t>
      </w:r>
      <w:r>
        <w:rPr>
          <w:rFonts w:hint="eastAsia" w:ascii="仿宋" w:hAnsi="仿宋" w:eastAsia="仿宋"/>
          <w:color w:val="auto"/>
          <w:sz w:val="32"/>
          <w:szCs w:val="32"/>
          <w:lang w:val="en-US" w:eastAsia="zh-CN"/>
        </w:rPr>
        <w:t>1430.53</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56.05</w:t>
      </w:r>
      <w:r>
        <w:rPr>
          <w:rFonts w:ascii="仿宋" w:hAnsi="仿宋" w:eastAsia="仿宋"/>
          <w:color w:val="auto"/>
          <w:sz w:val="32"/>
          <w:szCs w:val="32"/>
        </w:rPr>
        <w:t>%</w:t>
      </w:r>
      <w:r>
        <w:rPr>
          <w:rFonts w:hint="eastAsia" w:ascii="仿宋" w:hAnsi="仿宋" w:eastAsia="仿宋"/>
          <w:color w:val="auto"/>
          <w:sz w:val="32"/>
          <w:szCs w:val="32"/>
        </w:rPr>
        <w:t>；</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auto"/>
          <w:sz w:val="32"/>
          <w:szCs w:val="32"/>
          <w:lang w:val="en-US" w:eastAsia="zh-CN"/>
        </w:rPr>
        <w:t>1121.81</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43.95</w:t>
      </w:r>
      <w:r>
        <w:rPr>
          <w:rFonts w:ascii="仿宋" w:hAnsi="仿宋" w:eastAsia="仿宋"/>
          <w:color w:val="auto"/>
          <w:sz w:val="32"/>
          <w:szCs w:val="32"/>
        </w:rPr>
        <w:t>%</w:t>
      </w:r>
      <w:r>
        <w:rPr>
          <w:rFonts w:hint="eastAsia" w:ascii="仿宋" w:hAnsi="仿宋" w:eastAsia="仿宋"/>
          <w:color w:val="auto"/>
          <w:sz w:val="32"/>
          <w:szCs w:val="32"/>
        </w:rPr>
        <w:t>；上缴上级支出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；经营支出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；对附属单位补助支出</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w:t>
      </w:r>
    </w:p>
    <w:p>
      <w:pPr>
        <w:spacing w:line="600" w:lineRule="exact"/>
        <w:ind w:firstLine="643" w:firstLineChars="200"/>
        <w:outlineLvl w:val="1"/>
        <w:rPr>
          <w:rFonts w:ascii="仿宋" w:hAnsi="仿宋" w:eastAsia="仿宋"/>
          <w:b/>
          <w:color w:val="auto"/>
          <w:sz w:val="32"/>
          <w:szCs w:val="32"/>
        </w:rPr>
      </w:pPr>
      <w:r>
        <w:rPr>
          <w:rFonts w:hint="eastAsia" w:ascii="仿宋" w:hAnsi="仿宋" w:eastAsia="仿宋"/>
          <w:b/>
          <w:color w:val="auto"/>
          <w:sz w:val="32"/>
          <w:szCs w:val="32"/>
        </w:rPr>
        <w:t>（注：数据来源于财决</w:t>
      </w:r>
      <w:r>
        <w:rPr>
          <w:rFonts w:ascii="仿宋" w:hAnsi="仿宋" w:eastAsia="仿宋"/>
          <w:b/>
          <w:color w:val="auto"/>
          <w:sz w:val="32"/>
          <w:szCs w:val="32"/>
        </w:rPr>
        <w:t>04</w:t>
      </w:r>
      <w:r>
        <w:rPr>
          <w:rFonts w:hint="eastAsia" w:ascii="仿宋" w:hAnsi="仿宋" w:eastAsia="仿宋"/>
          <w:b/>
          <w:color w:val="auto"/>
          <w:sz w:val="32"/>
          <w:szCs w:val="32"/>
        </w:rPr>
        <w:t>表）</w:t>
      </w:r>
    </w:p>
    <w:p>
      <w:pPr>
        <w:spacing w:line="600" w:lineRule="exact"/>
        <w:ind w:firstLine="640"/>
        <w:rPr>
          <w:rFonts w:ascii="仿宋" w:hAnsi="仿宋" w:eastAsia="仿宋"/>
          <w:color w:val="auto"/>
          <w:sz w:val="32"/>
          <w:szCs w:val="32"/>
          <w:shd w:val="pct10" w:color="auto" w:fill="FFFFFF"/>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p>
    <w:p>
      <w:pPr>
        <w:spacing w:line="600" w:lineRule="exact"/>
        <w:ind w:firstLine="640" w:firstLineChars="200"/>
        <w:rPr>
          <w:rFonts w:hint="eastAsia" w:ascii="仿宋" w:hAnsi="仿宋" w:eastAsia="仿宋"/>
          <w:color w:val="auto"/>
          <w:sz w:val="32"/>
          <w:szCs w:val="32"/>
        </w:rPr>
      </w:pPr>
      <w:r>
        <w:drawing>
          <wp:anchor distT="0" distB="0" distL="114300" distR="114300" simplePos="0" relativeHeight="251658240" behindDoc="0" locked="0" layoutInCell="1" allowOverlap="1">
            <wp:simplePos x="0" y="0"/>
            <wp:positionH relativeFrom="column">
              <wp:posOffset>271145</wp:posOffset>
            </wp:positionH>
            <wp:positionV relativeFrom="paragraph">
              <wp:posOffset>-2453005</wp:posOffset>
            </wp:positionV>
            <wp:extent cx="4572000" cy="2743200"/>
            <wp:effectExtent l="4445" t="4445" r="14605" b="14605"/>
            <wp:wrapSquare wrapText="bothSides"/>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rPr>
          <w:rFonts w:ascii="仿宋_GB2312" w:eastAsia="仿宋_GB2312"/>
          <w:color w:val="auto"/>
          <w:sz w:val="32"/>
          <w:szCs w:val="32"/>
        </w:rPr>
      </w:pP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（图3：支出决算结构图）</w:t>
      </w:r>
    </w:p>
    <w:p>
      <w:pPr>
        <w:spacing w:line="600" w:lineRule="exact"/>
        <w:ind w:firstLine="640" w:firstLineChars="200"/>
        <w:outlineLvl w:val="1"/>
        <w:rPr>
          <w:rStyle w:val="26"/>
          <w:rFonts w:ascii="黑体" w:hAnsi="黑体" w:eastAsia="黑体"/>
          <w:b w:val="0"/>
          <w:color w:val="auto"/>
        </w:rPr>
      </w:pPr>
      <w:bookmarkStart w:id="24" w:name="_Toc15396606"/>
      <w:bookmarkStart w:id="25" w:name="_Toc15377208"/>
      <w:r>
        <w:rPr>
          <w:rFonts w:hint="eastAsia" w:ascii="黑体" w:hAnsi="黑体" w:eastAsia="黑体"/>
          <w:color w:val="auto"/>
          <w:sz w:val="32"/>
          <w:szCs w:val="32"/>
        </w:rPr>
        <w:t>四、财</w:t>
      </w:r>
      <w:r>
        <w:rPr>
          <w:rStyle w:val="26"/>
          <w:rFonts w:hint="eastAsia" w:ascii="黑体" w:hAnsi="黑体" w:eastAsia="黑体"/>
          <w:b w:val="0"/>
          <w:color w:val="auto"/>
        </w:rPr>
        <w:t>政拨款收入支出决算总体情况说明</w:t>
      </w:r>
      <w:bookmarkEnd w:id="24"/>
      <w:bookmarkEnd w:id="25"/>
    </w:p>
    <w:p>
      <w:pPr>
        <w:spacing w:line="600" w:lineRule="exact"/>
        <w:ind w:firstLine="640" w:firstLineChars="200"/>
        <w:rPr>
          <w:rFonts w:hint="eastAsia" w:ascii="仿宋" w:hAnsi="仿宋" w:eastAsia="仿宋"/>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年财政拨款收、支总计</w:t>
      </w:r>
      <w:r>
        <w:rPr>
          <w:rFonts w:hint="eastAsia" w:ascii="仿宋" w:hAnsi="仿宋" w:eastAsia="仿宋"/>
          <w:color w:val="auto"/>
          <w:sz w:val="32"/>
          <w:szCs w:val="32"/>
          <w:lang w:val="en-US" w:eastAsia="zh-CN"/>
        </w:rPr>
        <w:t>2502.66</w:t>
      </w:r>
      <w:r>
        <w:rPr>
          <w:rFonts w:hint="eastAsia" w:ascii="仿宋" w:hAnsi="仿宋" w:eastAsia="仿宋"/>
          <w:color w:val="auto"/>
          <w:sz w:val="32"/>
          <w:szCs w:val="32"/>
        </w:rPr>
        <w:t>万元。与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年相比，财政拨款收、支总计各减少</w:t>
      </w:r>
      <w:r>
        <w:rPr>
          <w:rFonts w:hint="eastAsia" w:ascii="仿宋" w:hAnsi="仿宋" w:eastAsia="仿宋"/>
          <w:color w:val="auto"/>
          <w:sz w:val="32"/>
          <w:szCs w:val="32"/>
          <w:lang w:val="en-US" w:eastAsia="zh-CN"/>
        </w:rPr>
        <w:t>2797.11</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52.78</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：一是</w:t>
      </w:r>
      <w:r>
        <w:rPr>
          <w:rFonts w:hint="eastAsia" w:ascii="仿宋" w:hAnsi="仿宋" w:eastAsia="仿宋"/>
          <w:color w:val="auto"/>
          <w:sz w:val="32"/>
          <w:szCs w:val="32"/>
          <w:lang w:val="en-US" w:eastAsia="zh-CN"/>
        </w:rPr>
        <w:t>2019年长江入河排污口排查整治无人机航测项目2420.65万元，该项目属于一次性项目；二是受疫情影响，同时落实政府过紧日子要求，减少培训费、差旅费、接待费等支出。</w:t>
      </w:r>
    </w:p>
    <w:p>
      <w:pPr>
        <w:spacing w:line="600" w:lineRule="exact"/>
        <w:ind w:firstLine="640"/>
        <w:rPr>
          <w:rFonts w:ascii="仿宋" w:hAnsi="仿宋" w:eastAsia="仿宋"/>
          <w:color w:val="auto"/>
          <w:sz w:val="32"/>
          <w:szCs w:val="32"/>
        </w:rPr>
      </w:pPr>
      <w:r>
        <w:rPr>
          <w:rFonts w:hint="eastAsia" w:ascii="仿宋" w:hAnsi="仿宋" w:eastAsia="仿宋"/>
          <w:b/>
          <w:color w:val="auto"/>
          <w:sz w:val="32"/>
          <w:szCs w:val="32"/>
        </w:rPr>
        <w:t>（注：数据来源于财决</w:t>
      </w:r>
      <w:r>
        <w:rPr>
          <w:rFonts w:ascii="仿宋" w:hAnsi="仿宋" w:eastAsia="仿宋"/>
          <w:b/>
          <w:color w:val="auto"/>
          <w:sz w:val="32"/>
          <w:szCs w:val="32"/>
        </w:rPr>
        <w:t>Z01-1</w:t>
      </w:r>
      <w:r>
        <w:rPr>
          <w:rFonts w:hint="eastAsia" w:ascii="仿宋" w:hAnsi="仿宋" w:eastAsia="仿宋"/>
          <w:b/>
          <w:color w:val="auto"/>
          <w:sz w:val="32"/>
          <w:szCs w:val="32"/>
        </w:rPr>
        <w:t>表</w:t>
      </w:r>
      <w:r>
        <w:rPr>
          <w:rFonts w:ascii="仿宋" w:hAnsi="仿宋" w:eastAsia="仿宋"/>
          <w:b/>
          <w:color w:val="auto"/>
          <w:sz w:val="32"/>
          <w:szCs w:val="32"/>
        </w:rPr>
        <w:t>）</w:t>
      </w:r>
    </w:p>
    <w:p>
      <w:pPr>
        <w:pStyle w:val="2"/>
        <w:jc w:val="center"/>
        <w:rPr>
          <w:rFonts w:ascii="仿宋" w:hAnsi="仿宋" w:eastAsia="仿宋"/>
          <w:color w:val="auto"/>
          <w:sz w:val="32"/>
          <w:szCs w:val="32"/>
        </w:rPr>
      </w:pPr>
      <w:r>
        <w:drawing>
          <wp:inline distT="0" distB="0" distL="114300" distR="114300">
            <wp:extent cx="4572000" cy="2743200"/>
            <wp:effectExtent l="4445" t="4445" r="1460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2"/>
        <w:rPr>
          <w:rFonts w:ascii="仿宋" w:hAnsi="仿宋" w:eastAsia="仿宋"/>
          <w:color w:val="auto"/>
          <w:sz w:val="32"/>
          <w:szCs w:val="32"/>
        </w:rPr>
      </w:pPr>
    </w:p>
    <w:p>
      <w:pPr>
        <w:spacing w:line="600" w:lineRule="exact"/>
        <w:rPr>
          <w:rFonts w:ascii="仿宋" w:hAnsi="仿宋" w:eastAsia="仿宋"/>
          <w:color w:val="auto"/>
          <w:sz w:val="32"/>
          <w:szCs w:val="32"/>
        </w:rPr>
      </w:pPr>
      <w:r>
        <w:rPr>
          <w:rFonts w:hint="eastAsia" w:ascii="仿宋" w:hAnsi="仿宋" w:eastAsia="仿宋"/>
          <w:color w:val="auto"/>
          <w:sz w:val="32"/>
          <w:szCs w:val="32"/>
        </w:rPr>
        <w:t>（图4：财政拨款收、支决算总计变动情况</w:t>
      </w:r>
      <w:r>
        <w:rPr>
          <w:rFonts w:hint="eastAsia" w:ascii="仿宋" w:hAnsi="仿宋" w:eastAsia="仿宋"/>
          <w:color w:val="auto"/>
          <w:sz w:val="32"/>
          <w:szCs w:val="32"/>
          <w:lang w:val="en-US" w:eastAsia="zh-CN"/>
        </w:rPr>
        <w:t xml:space="preserve">  单位：万元</w:t>
      </w:r>
      <w:r>
        <w:rPr>
          <w:rFonts w:hint="eastAsia" w:ascii="仿宋" w:hAnsi="仿宋" w:eastAsia="仿宋"/>
          <w:color w:val="auto"/>
          <w:sz w:val="32"/>
          <w:szCs w:val="32"/>
        </w:rPr>
        <w:t>）</w:t>
      </w:r>
    </w:p>
    <w:p>
      <w:pPr>
        <w:spacing w:line="600" w:lineRule="exact"/>
        <w:outlineLvl w:val="1"/>
        <w:rPr>
          <w:rStyle w:val="26"/>
          <w:rFonts w:ascii="黑体" w:hAnsi="黑体" w:eastAsia="黑体"/>
          <w:b w:val="0"/>
          <w:color w:val="auto"/>
        </w:rPr>
      </w:pPr>
      <w:bookmarkStart w:id="26" w:name="_Toc15396607"/>
      <w:bookmarkStart w:id="27" w:name="_Toc15377209"/>
      <w:r>
        <w:rPr>
          <w:rFonts w:hint="eastAsia" w:ascii="黑体" w:hAnsi="黑体" w:eastAsia="黑体"/>
          <w:color w:val="auto"/>
          <w:sz w:val="32"/>
          <w:szCs w:val="32"/>
          <w:lang w:val="en-US" w:eastAsia="zh-CN"/>
        </w:rPr>
        <w:t xml:space="preserve">     </w:t>
      </w:r>
      <w:r>
        <w:rPr>
          <w:rFonts w:hint="eastAsia" w:ascii="黑体" w:hAnsi="黑体" w:eastAsia="黑体"/>
          <w:color w:val="auto"/>
          <w:sz w:val="32"/>
          <w:szCs w:val="32"/>
        </w:rPr>
        <w:t>五、</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rPr>
      </w:pPr>
      <w:bookmarkStart w:id="28" w:name="_Toc15377210"/>
      <w:r>
        <w:rPr>
          <w:rFonts w:hint="eastAsia" w:ascii="仿宋" w:hAnsi="仿宋" w:eastAsia="仿宋"/>
          <w:b/>
          <w:color w:val="auto"/>
          <w:sz w:val="32"/>
          <w:szCs w:val="32"/>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lang w:val="en-US" w:eastAsia="zh-CN"/>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年一般公共预算财政拨款支出</w:t>
      </w:r>
      <w:r>
        <w:rPr>
          <w:rFonts w:hint="eastAsia" w:ascii="仿宋" w:hAnsi="仿宋" w:eastAsia="仿宋"/>
          <w:color w:val="auto"/>
          <w:sz w:val="32"/>
          <w:szCs w:val="32"/>
          <w:lang w:val="en-US" w:eastAsia="zh-CN"/>
        </w:rPr>
        <w:t>2502.66</w:t>
      </w:r>
      <w:r>
        <w:rPr>
          <w:rFonts w:hint="eastAsia" w:ascii="仿宋" w:hAnsi="仿宋" w:eastAsia="仿宋"/>
          <w:color w:val="auto"/>
          <w:sz w:val="32"/>
          <w:szCs w:val="32"/>
        </w:rPr>
        <w:t>万元，占本年支出合计的</w:t>
      </w:r>
      <w:r>
        <w:rPr>
          <w:rFonts w:hint="eastAsia" w:ascii="仿宋" w:hAnsi="仿宋" w:eastAsia="仿宋"/>
          <w:color w:val="auto"/>
          <w:sz w:val="32"/>
          <w:szCs w:val="32"/>
          <w:lang w:val="en-US" w:eastAsia="zh-CN"/>
        </w:rPr>
        <w:t>98.05</w:t>
      </w:r>
      <w:r>
        <w:rPr>
          <w:rFonts w:ascii="仿宋" w:hAnsi="仿宋" w:eastAsia="仿宋"/>
          <w:color w:val="auto"/>
          <w:sz w:val="32"/>
          <w:szCs w:val="32"/>
        </w:rPr>
        <w:t>%</w:t>
      </w:r>
      <w:r>
        <w:rPr>
          <w:rFonts w:hint="eastAsia" w:ascii="仿宋" w:hAnsi="仿宋" w:eastAsia="仿宋"/>
          <w:color w:val="auto"/>
          <w:sz w:val="32"/>
          <w:szCs w:val="32"/>
        </w:rPr>
        <w:t>。与</w:t>
      </w:r>
      <w:r>
        <w:rPr>
          <w:rFonts w:ascii="仿宋" w:hAnsi="仿宋" w:eastAsia="仿宋"/>
          <w:color w:val="auto"/>
          <w:sz w:val="32"/>
          <w:szCs w:val="32"/>
        </w:rPr>
        <w:t>201</w:t>
      </w:r>
      <w:r>
        <w:rPr>
          <w:rFonts w:hint="eastAsia" w:ascii="仿宋" w:hAnsi="仿宋" w:eastAsia="仿宋"/>
          <w:color w:val="auto"/>
          <w:sz w:val="32"/>
          <w:szCs w:val="32"/>
          <w:lang w:val="en-US" w:eastAsia="zh-CN"/>
        </w:rPr>
        <w:t>9</w:t>
      </w:r>
      <w:r>
        <w:rPr>
          <w:rFonts w:hint="eastAsia" w:ascii="仿宋" w:hAnsi="仿宋" w:eastAsia="仿宋"/>
          <w:color w:val="auto"/>
          <w:sz w:val="32"/>
          <w:szCs w:val="32"/>
        </w:rPr>
        <w:t>年相比，一般公共预算财政拨款减少</w:t>
      </w:r>
      <w:r>
        <w:rPr>
          <w:rFonts w:hint="eastAsia" w:ascii="仿宋" w:hAnsi="仿宋" w:eastAsia="仿宋"/>
          <w:color w:val="auto"/>
          <w:sz w:val="32"/>
          <w:szCs w:val="32"/>
          <w:lang w:val="en-US" w:eastAsia="zh-CN"/>
        </w:rPr>
        <w:t>2797.11</w:t>
      </w:r>
      <w:r>
        <w:rPr>
          <w:rFonts w:hint="eastAsia" w:ascii="仿宋" w:hAnsi="仿宋" w:eastAsia="仿宋"/>
          <w:color w:val="auto"/>
          <w:sz w:val="32"/>
          <w:szCs w:val="32"/>
        </w:rPr>
        <w:t>万元，下降</w:t>
      </w:r>
      <w:r>
        <w:rPr>
          <w:rFonts w:hint="eastAsia" w:ascii="仿宋" w:hAnsi="仿宋" w:eastAsia="仿宋"/>
          <w:color w:val="auto"/>
          <w:sz w:val="32"/>
          <w:szCs w:val="32"/>
          <w:lang w:val="en-US" w:eastAsia="zh-CN"/>
        </w:rPr>
        <w:t>52.78</w:t>
      </w:r>
      <w:r>
        <w:rPr>
          <w:rFonts w:ascii="仿宋" w:hAnsi="仿宋" w:eastAsia="仿宋"/>
          <w:color w:val="auto"/>
          <w:sz w:val="32"/>
          <w:szCs w:val="32"/>
        </w:rPr>
        <w:t>%</w:t>
      </w:r>
      <w:r>
        <w:rPr>
          <w:rFonts w:hint="eastAsia" w:ascii="仿宋" w:hAnsi="仿宋" w:eastAsia="仿宋"/>
          <w:color w:val="auto"/>
          <w:sz w:val="32"/>
          <w:szCs w:val="32"/>
        </w:rPr>
        <w:t>。主要变动原因</w:t>
      </w:r>
      <w:r>
        <w:rPr>
          <w:rFonts w:hint="eastAsia" w:ascii="仿宋" w:hAnsi="仿宋" w:eastAsia="仿宋"/>
          <w:color w:val="auto"/>
          <w:sz w:val="32"/>
          <w:szCs w:val="32"/>
          <w:lang w:eastAsia="zh-CN"/>
        </w:rPr>
        <w:t>：一是</w:t>
      </w:r>
      <w:r>
        <w:rPr>
          <w:rFonts w:hint="eastAsia" w:ascii="仿宋" w:hAnsi="仿宋" w:eastAsia="仿宋"/>
          <w:color w:val="auto"/>
          <w:sz w:val="32"/>
          <w:szCs w:val="32"/>
          <w:lang w:val="en-US" w:eastAsia="zh-CN"/>
        </w:rPr>
        <w:t>2019年长江入河排污口排查整治无人机航测项目2420.65万元，该项目属于一次性项目；二是受疫情影响，同时落实政府过紧日子要求，减少培训费、差旅费、接待费等支出。</w:t>
      </w:r>
    </w:p>
    <w:p>
      <w:pPr>
        <w:spacing w:line="600" w:lineRule="exact"/>
        <w:ind w:firstLine="640" w:firstLineChars="200"/>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rPr>
          <w:rFonts w:ascii="仿宋" w:hAnsi="仿宋" w:eastAsia="仿宋"/>
          <w:color w:val="auto"/>
          <w:sz w:val="32"/>
          <w:szCs w:val="32"/>
        </w:rPr>
      </w:pPr>
    </w:p>
    <w:p>
      <w:pPr>
        <w:pStyle w:val="2"/>
        <w:jc w:val="center"/>
        <w:rPr>
          <w:rFonts w:ascii="仿宋" w:hAnsi="仿宋" w:eastAsia="仿宋"/>
          <w:color w:val="auto"/>
          <w:sz w:val="32"/>
          <w:szCs w:val="32"/>
        </w:rPr>
      </w:pPr>
      <w:r>
        <w:drawing>
          <wp:inline distT="0" distB="0" distL="114300" distR="114300">
            <wp:extent cx="4572000" cy="2743200"/>
            <wp:effectExtent l="4445" t="4445" r="14605" b="14605"/>
            <wp:docPr id="1"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rPr>
          <w:rFonts w:ascii="仿宋" w:hAnsi="仿宋" w:eastAsia="仿宋"/>
          <w:color w:val="auto"/>
          <w:sz w:val="32"/>
          <w:szCs w:val="32"/>
        </w:rPr>
      </w:pPr>
      <w:r>
        <w:rPr>
          <w:rFonts w:hint="eastAsia" w:ascii="仿宋" w:hAnsi="仿宋" w:eastAsia="仿宋"/>
          <w:color w:val="auto"/>
          <w:sz w:val="32"/>
          <w:szCs w:val="32"/>
        </w:rPr>
        <w:t>（图5：一般公共预算财政拨款支出决算变动情况</w:t>
      </w:r>
      <w:r>
        <w:rPr>
          <w:rFonts w:hint="eastAsia" w:ascii="仿宋" w:hAnsi="仿宋" w:eastAsia="仿宋"/>
          <w:color w:val="auto"/>
          <w:sz w:val="32"/>
          <w:szCs w:val="32"/>
          <w:lang w:val="en-US" w:eastAsia="zh-CN"/>
        </w:rPr>
        <w:t xml:space="preserve">  单位：万元</w:t>
      </w:r>
      <w:r>
        <w:rPr>
          <w:rFonts w:hint="eastAsia" w:ascii="仿宋" w:hAnsi="仿宋" w:eastAsia="仿宋"/>
          <w:color w:val="auto"/>
          <w:sz w:val="32"/>
          <w:szCs w:val="32"/>
        </w:rPr>
        <w:t>）</w:t>
      </w:r>
    </w:p>
    <w:p>
      <w:pPr>
        <w:spacing w:line="600" w:lineRule="exact"/>
        <w:ind w:firstLine="643" w:firstLineChars="200"/>
        <w:outlineLvl w:val="2"/>
        <w:rPr>
          <w:rFonts w:ascii="仿宋" w:hAnsi="仿宋" w:eastAsia="仿宋"/>
          <w:b/>
          <w:color w:val="auto"/>
          <w:sz w:val="32"/>
          <w:szCs w:val="32"/>
        </w:rPr>
      </w:pPr>
      <w:bookmarkStart w:id="29" w:name="_Toc15377211"/>
      <w:r>
        <w:rPr>
          <w:rFonts w:hint="eastAsia" w:ascii="仿宋" w:hAnsi="仿宋" w:eastAsia="仿宋"/>
          <w:b/>
          <w:color w:val="auto"/>
          <w:sz w:val="32"/>
          <w:szCs w:val="32"/>
        </w:rPr>
        <w:t>（二）一般公共预算财政拨款支出决算结构情况</w:t>
      </w:r>
      <w:bookmarkEnd w:id="29"/>
    </w:p>
    <w:p>
      <w:pPr>
        <w:spacing w:line="600" w:lineRule="exact"/>
        <w:ind w:firstLine="640"/>
        <w:rPr>
          <w:rFonts w:hint="eastAsia" w:ascii="仿宋" w:hAnsi="仿宋" w:eastAsia="仿宋"/>
          <w:b w:val="0"/>
          <w:bCs w:val="0"/>
          <w:color w:val="auto"/>
          <w:sz w:val="32"/>
          <w:szCs w:val="32"/>
        </w:rPr>
      </w:pPr>
      <w:r>
        <w:rPr>
          <w:rFonts w:ascii="仿宋" w:hAnsi="仿宋" w:eastAsia="仿宋"/>
          <w:b w:val="0"/>
          <w:bCs w:val="0"/>
          <w:color w:val="auto"/>
          <w:sz w:val="32"/>
          <w:szCs w:val="32"/>
        </w:rPr>
        <w:t>20</w:t>
      </w:r>
      <w:r>
        <w:rPr>
          <w:rFonts w:hint="eastAsia" w:ascii="仿宋" w:hAnsi="仿宋" w:eastAsia="仿宋"/>
          <w:b w:val="0"/>
          <w:bCs w:val="0"/>
          <w:color w:val="auto"/>
          <w:sz w:val="32"/>
          <w:szCs w:val="32"/>
          <w:lang w:val="en-US" w:eastAsia="zh-CN"/>
        </w:rPr>
        <w:t>20</w:t>
      </w:r>
      <w:r>
        <w:rPr>
          <w:rFonts w:hint="eastAsia" w:ascii="仿宋" w:hAnsi="仿宋" w:eastAsia="仿宋"/>
          <w:b w:val="0"/>
          <w:bCs w:val="0"/>
          <w:color w:val="auto"/>
          <w:sz w:val="32"/>
          <w:szCs w:val="32"/>
        </w:rPr>
        <w:t>年一般公共预算财政拨款支出</w:t>
      </w:r>
      <w:r>
        <w:rPr>
          <w:rFonts w:hint="eastAsia" w:ascii="仿宋" w:hAnsi="仿宋" w:eastAsia="仿宋"/>
          <w:b w:val="0"/>
          <w:bCs w:val="0"/>
          <w:color w:val="auto"/>
          <w:sz w:val="32"/>
          <w:szCs w:val="32"/>
          <w:lang w:val="en-US" w:eastAsia="zh-CN"/>
        </w:rPr>
        <w:t>2502.66</w:t>
      </w:r>
      <w:r>
        <w:rPr>
          <w:rFonts w:hint="eastAsia" w:ascii="仿宋" w:hAnsi="仿宋" w:eastAsia="仿宋"/>
          <w:b w:val="0"/>
          <w:bCs w:val="0"/>
          <w:color w:val="auto"/>
          <w:sz w:val="32"/>
          <w:szCs w:val="32"/>
        </w:rPr>
        <w:t>万元，主要用于以下方面</w:t>
      </w:r>
      <w:r>
        <w:rPr>
          <w:rFonts w:ascii="仿宋" w:hAnsi="仿宋" w:eastAsia="仿宋"/>
          <w:b w:val="0"/>
          <w:bCs w:val="0"/>
          <w:color w:val="auto"/>
          <w:sz w:val="32"/>
          <w:szCs w:val="32"/>
        </w:rPr>
        <w:t>:</w:t>
      </w:r>
      <w:r>
        <w:rPr>
          <w:rFonts w:hint="eastAsia" w:ascii="仿宋" w:hAnsi="仿宋" w:eastAsia="仿宋"/>
          <w:b w:val="0"/>
          <w:bCs w:val="0"/>
          <w:color w:val="auto"/>
          <w:sz w:val="32"/>
          <w:szCs w:val="32"/>
        </w:rPr>
        <w:t>教育支出（类）</w:t>
      </w:r>
      <w:r>
        <w:rPr>
          <w:rFonts w:hint="eastAsia" w:ascii="仿宋" w:hAnsi="仿宋" w:eastAsia="仿宋"/>
          <w:b w:val="0"/>
          <w:bCs w:val="0"/>
          <w:color w:val="auto"/>
          <w:sz w:val="32"/>
          <w:szCs w:val="32"/>
          <w:lang w:val="en-US" w:eastAsia="zh-CN"/>
        </w:rPr>
        <w:t>30.75</w:t>
      </w:r>
      <w:r>
        <w:rPr>
          <w:rFonts w:hint="eastAsia" w:ascii="仿宋" w:hAnsi="仿宋" w:eastAsia="仿宋"/>
          <w:b w:val="0"/>
          <w:bCs w:val="0"/>
          <w:color w:val="auto"/>
          <w:sz w:val="32"/>
          <w:szCs w:val="32"/>
        </w:rPr>
        <w:t>万元，占</w:t>
      </w:r>
      <w:r>
        <w:rPr>
          <w:rFonts w:hint="eastAsia" w:ascii="仿宋" w:hAnsi="仿宋" w:eastAsia="仿宋"/>
          <w:b w:val="0"/>
          <w:bCs w:val="0"/>
          <w:color w:val="auto"/>
          <w:sz w:val="32"/>
          <w:szCs w:val="32"/>
          <w:lang w:val="en-US" w:eastAsia="zh-CN"/>
        </w:rPr>
        <w:t>1.2</w:t>
      </w:r>
      <w:r>
        <w:rPr>
          <w:rFonts w:ascii="仿宋" w:hAnsi="仿宋" w:eastAsia="仿宋"/>
          <w:b w:val="0"/>
          <w:bCs w:val="0"/>
          <w:color w:val="auto"/>
          <w:sz w:val="32"/>
          <w:szCs w:val="32"/>
        </w:rPr>
        <w:t>%</w:t>
      </w:r>
      <w:r>
        <w:rPr>
          <w:rFonts w:hint="eastAsia" w:ascii="仿宋" w:hAnsi="仿宋" w:eastAsia="仿宋"/>
          <w:b w:val="0"/>
          <w:bCs w:val="0"/>
          <w:color w:val="auto"/>
          <w:sz w:val="32"/>
          <w:szCs w:val="32"/>
        </w:rPr>
        <w:t>；社会保障和就业（类）支出</w:t>
      </w:r>
      <w:r>
        <w:rPr>
          <w:rFonts w:hint="eastAsia" w:ascii="仿宋" w:hAnsi="仿宋" w:eastAsia="仿宋"/>
          <w:b w:val="0"/>
          <w:bCs w:val="0"/>
          <w:color w:val="auto"/>
          <w:sz w:val="32"/>
          <w:szCs w:val="32"/>
          <w:lang w:val="en-US" w:eastAsia="zh-CN"/>
        </w:rPr>
        <w:t>81.19</w:t>
      </w:r>
      <w:r>
        <w:rPr>
          <w:rFonts w:hint="eastAsia" w:ascii="仿宋" w:hAnsi="仿宋" w:eastAsia="仿宋"/>
          <w:b w:val="0"/>
          <w:bCs w:val="0"/>
          <w:color w:val="auto"/>
          <w:sz w:val="32"/>
          <w:szCs w:val="32"/>
        </w:rPr>
        <w:t>万元，占</w:t>
      </w:r>
      <w:r>
        <w:rPr>
          <w:rFonts w:hint="eastAsia" w:ascii="仿宋" w:hAnsi="仿宋" w:eastAsia="仿宋"/>
          <w:b w:val="0"/>
          <w:bCs w:val="0"/>
          <w:color w:val="auto"/>
          <w:sz w:val="32"/>
          <w:szCs w:val="32"/>
          <w:lang w:val="en-US" w:eastAsia="zh-CN"/>
        </w:rPr>
        <w:t>3.18</w:t>
      </w:r>
      <w:r>
        <w:rPr>
          <w:rFonts w:ascii="仿宋" w:hAnsi="仿宋" w:eastAsia="仿宋"/>
          <w:b w:val="0"/>
          <w:bCs w:val="0"/>
          <w:color w:val="auto"/>
          <w:sz w:val="32"/>
          <w:szCs w:val="32"/>
        </w:rPr>
        <w:t>%</w:t>
      </w:r>
      <w:r>
        <w:rPr>
          <w:rFonts w:hint="eastAsia" w:ascii="仿宋" w:hAnsi="仿宋" w:eastAsia="仿宋"/>
          <w:b w:val="0"/>
          <w:bCs w:val="0"/>
          <w:color w:val="auto"/>
          <w:sz w:val="32"/>
          <w:szCs w:val="32"/>
        </w:rPr>
        <w:t>；卫生健康</w:t>
      </w:r>
      <w:r>
        <w:rPr>
          <w:rFonts w:hint="eastAsia" w:ascii="仿宋" w:hAnsi="仿宋" w:eastAsia="仿宋"/>
          <w:b w:val="0"/>
          <w:bCs w:val="0"/>
          <w:color w:val="auto"/>
          <w:sz w:val="32"/>
          <w:szCs w:val="32"/>
          <w:lang w:eastAsia="zh-CN"/>
        </w:rPr>
        <w:t>（类）</w:t>
      </w:r>
      <w:r>
        <w:rPr>
          <w:rFonts w:hint="eastAsia" w:ascii="仿宋" w:hAnsi="仿宋" w:eastAsia="仿宋"/>
          <w:b w:val="0"/>
          <w:bCs w:val="0"/>
          <w:color w:val="auto"/>
          <w:sz w:val="32"/>
          <w:szCs w:val="32"/>
        </w:rPr>
        <w:t>支出</w:t>
      </w:r>
      <w:r>
        <w:rPr>
          <w:rFonts w:hint="eastAsia" w:ascii="仿宋" w:hAnsi="仿宋" w:eastAsia="仿宋"/>
          <w:b w:val="0"/>
          <w:bCs w:val="0"/>
          <w:color w:val="auto"/>
          <w:sz w:val="32"/>
          <w:szCs w:val="32"/>
          <w:lang w:val="en-US" w:eastAsia="zh-CN"/>
        </w:rPr>
        <w:t>64</w:t>
      </w:r>
      <w:r>
        <w:rPr>
          <w:rFonts w:hint="eastAsia" w:ascii="仿宋" w:hAnsi="仿宋" w:eastAsia="仿宋"/>
          <w:b w:val="0"/>
          <w:bCs w:val="0"/>
          <w:color w:val="auto"/>
          <w:sz w:val="32"/>
          <w:szCs w:val="32"/>
        </w:rPr>
        <w:t>万元，占</w:t>
      </w:r>
      <w:r>
        <w:rPr>
          <w:rFonts w:hint="eastAsia" w:ascii="仿宋" w:hAnsi="仿宋" w:eastAsia="仿宋"/>
          <w:b w:val="0"/>
          <w:bCs w:val="0"/>
          <w:color w:val="auto"/>
          <w:sz w:val="32"/>
          <w:szCs w:val="32"/>
          <w:lang w:val="en-US" w:eastAsia="zh-CN"/>
        </w:rPr>
        <w:t>2.51</w:t>
      </w:r>
      <w:r>
        <w:rPr>
          <w:rFonts w:ascii="仿宋" w:hAnsi="仿宋" w:eastAsia="仿宋"/>
          <w:b w:val="0"/>
          <w:bCs w:val="0"/>
          <w:color w:val="auto"/>
          <w:sz w:val="32"/>
          <w:szCs w:val="32"/>
        </w:rPr>
        <w:t>%</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eastAsia="zh-CN"/>
        </w:rPr>
        <w:t>节能环保（类）支出</w:t>
      </w:r>
      <w:r>
        <w:rPr>
          <w:rFonts w:hint="eastAsia" w:ascii="仿宋" w:hAnsi="仿宋" w:eastAsia="仿宋"/>
          <w:b w:val="0"/>
          <w:bCs w:val="0"/>
          <w:color w:val="auto"/>
          <w:sz w:val="32"/>
          <w:szCs w:val="32"/>
          <w:lang w:val="en-US" w:eastAsia="zh-CN"/>
        </w:rPr>
        <w:t>2155.95万元，占84.47%；</w:t>
      </w:r>
      <w:r>
        <w:rPr>
          <w:rFonts w:hint="eastAsia" w:ascii="仿宋" w:hAnsi="仿宋" w:eastAsia="仿宋"/>
          <w:b w:val="0"/>
          <w:bCs w:val="0"/>
          <w:color w:val="auto"/>
          <w:sz w:val="32"/>
          <w:szCs w:val="32"/>
        </w:rPr>
        <w:t>住房保障支出</w:t>
      </w:r>
      <w:r>
        <w:rPr>
          <w:rFonts w:hint="eastAsia" w:ascii="仿宋" w:hAnsi="仿宋" w:eastAsia="仿宋"/>
          <w:b w:val="0"/>
          <w:bCs w:val="0"/>
          <w:color w:val="auto"/>
          <w:sz w:val="32"/>
          <w:szCs w:val="32"/>
          <w:lang w:val="en-US" w:eastAsia="zh-CN"/>
        </w:rPr>
        <w:t>220.46</w:t>
      </w:r>
      <w:r>
        <w:rPr>
          <w:rFonts w:hint="eastAsia" w:ascii="仿宋" w:hAnsi="仿宋" w:eastAsia="仿宋"/>
          <w:b w:val="0"/>
          <w:bCs w:val="0"/>
          <w:color w:val="auto"/>
          <w:sz w:val="32"/>
          <w:szCs w:val="32"/>
        </w:rPr>
        <w:t>万元，占</w:t>
      </w:r>
      <w:r>
        <w:rPr>
          <w:rFonts w:hint="eastAsia" w:ascii="仿宋" w:hAnsi="仿宋" w:eastAsia="仿宋"/>
          <w:b w:val="0"/>
          <w:bCs w:val="0"/>
          <w:color w:val="auto"/>
          <w:sz w:val="32"/>
          <w:szCs w:val="32"/>
          <w:lang w:val="en-US" w:eastAsia="zh-CN"/>
        </w:rPr>
        <w:t>8.64</w:t>
      </w:r>
      <w:r>
        <w:rPr>
          <w:rFonts w:ascii="仿宋" w:hAnsi="仿宋" w:eastAsia="仿宋"/>
          <w:b w:val="0"/>
          <w:bCs w:val="0"/>
          <w:color w:val="auto"/>
          <w:sz w:val="32"/>
          <w:szCs w:val="32"/>
        </w:rPr>
        <w:t>%</w:t>
      </w:r>
      <w:r>
        <w:rPr>
          <w:rFonts w:hint="eastAsia" w:ascii="仿宋" w:hAnsi="仿宋" w:eastAsia="仿宋"/>
          <w:b w:val="0"/>
          <w:bCs w:val="0"/>
          <w:color w:val="auto"/>
          <w:sz w:val="32"/>
          <w:szCs w:val="32"/>
        </w:rPr>
        <w:t>。</w:t>
      </w:r>
    </w:p>
    <w:p>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w:t>
      </w:r>
      <w:r>
        <w:rPr>
          <w:rFonts w:hint="eastAsia" w:ascii="仿宋" w:hAnsi="仿宋" w:eastAsia="仿宋"/>
          <w:b/>
          <w:color w:val="auto"/>
          <w:sz w:val="32"/>
          <w:szCs w:val="32"/>
          <w:highlight w:val="none"/>
          <w:lang w:eastAsia="zh-CN"/>
        </w:rPr>
        <w:t>注：数据来源于财决</w:t>
      </w:r>
      <w:r>
        <w:rPr>
          <w:rFonts w:hint="eastAsia" w:ascii="仿宋" w:hAnsi="仿宋" w:eastAsia="仿宋"/>
          <w:b/>
          <w:color w:val="auto"/>
          <w:sz w:val="32"/>
          <w:szCs w:val="32"/>
          <w:highlight w:val="none"/>
          <w:lang w:val="en-US" w:eastAsia="zh-CN"/>
        </w:rPr>
        <w:t>01-1表，</w:t>
      </w:r>
      <w:r>
        <w:rPr>
          <w:rFonts w:hint="eastAsia" w:ascii="仿宋" w:hAnsi="仿宋" w:eastAsia="仿宋"/>
          <w:b/>
          <w:color w:val="auto"/>
          <w:sz w:val="32"/>
          <w:szCs w:val="32"/>
          <w:highlight w:val="none"/>
        </w:rPr>
        <w:t>罗列全部功能分类科目，至类级。）</w:t>
      </w: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p>
    <w:p>
      <w:pPr>
        <w:pStyle w:val="2"/>
        <w:rPr>
          <w:rFonts w:hint="eastAsia" w:ascii="仿宋" w:hAnsi="仿宋" w:eastAsia="仿宋"/>
          <w:b/>
          <w:color w:val="auto"/>
          <w:sz w:val="32"/>
          <w:szCs w:val="32"/>
          <w:highlight w:val="none"/>
        </w:rPr>
      </w:pPr>
      <w:r>
        <w:drawing>
          <wp:inline distT="0" distB="0" distL="114300" distR="114300">
            <wp:extent cx="4705350" cy="257175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rPr>
          <w:rFonts w:ascii="仿宋" w:hAnsi="仿宋" w:eastAsia="仿宋"/>
          <w:color w:val="auto"/>
          <w:sz w:val="32"/>
          <w:szCs w:val="32"/>
        </w:rPr>
      </w:pPr>
      <w:r>
        <w:rPr>
          <w:rFonts w:hint="eastAsia" w:ascii="仿宋" w:hAnsi="仿宋" w:eastAsia="仿宋"/>
          <w:color w:val="auto"/>
          <w:sz w:val="32"/>
          <w:szCs w:val="32"/>
        </w:rPr>
        <w:t>（图6：一般公共预算财政拨款支出决算结构</w:t>
      </w:r>
      <w:r>
        <w:rPr>
          <w:rFonts w:hint="eastAsia" w:ascii="仿宋" w:hAnsi="仿宋" w:eastAsia="仿宋"/>
          <w:color w:val="auto"/>
          <w:sz w:val="32"/>
          <w:szCs w:val="32"/>
          <w:lang w:val="en-US" w:eastAsia="zh-CN"/>
        </w:rPr>
        <w:t xml:space="preserve"> 单位：万元</w:t>
      </w:r>
      <w:r>
        <w:rPr>
          <w:rFonts w:hint="eastAsia" w:ascii="仿宋" w:hAnsi="仿宋" w:eastAsia="仿宋"/>
          <w:color w:val="auto"/>
          <w:sz w:val="32"/>
          <w:szCs w:val="32"/>
        </w:rPr>
        <w:t>）</w:t>
      </w:r>
    </w:p>
    <w:p>
      <w:pPr>
        <w:spacing w:line="600" w:lineRule="exact"/>
        <w:ind w:firstLine="643" w:firstLineChars="200"/>
        <w:outlineLvl w:val="2"/>
        <w:rPr>
          <w:rFonts w:ascii="仿宋" w:hAnsi="仿宋" w:eastAsia="仿宋"/>
          <w:b/>
          <w:color w:val="auto"/>
          <w:sz w:val="32"/>
          <w:szCs w:val="32"/>
        </w:rPr>
      </w:pPr>
      <w:bookmarkStart w:id="30" w:name="_Toc15377212"/>
      <w:r>
        <w:rPr>
          <w:rFonts w:hint="eastAsia" w:ascii="仿宋" w:hAnsi="仿宋" w:eastAsia="仿宋"/>
          <w:b/>
          <w:color w:val="auto"/>
          <w:sz w:val="32"/>
          <w:szCs w:val="32"/>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rPr>
      </w:pPr>
      <w:bookmarkStart w:id="31" w:name="_Toc15377213"/>
      <w:bookmarkStart w:id="32" w:name="_Toc15378460"/>
      <w:bookmarkStart w:id="33" w:name="_Toc15377444"/>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2502.66万元</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w:t>
      </w:r>
      <w:r>
        <w:rPr>
          <w:rStyle w:val="15"/>
          <w:rFonts w:hint="eastAsia" w:ascii="仿宋" w:hAnsi="仿宋" w:eastAsia="仿宋"/>
          <w:bCs/>
          <w:color w:val="auto"/>
          <w:sz w:val="32"/>
          <w:szCs w:val="32"/>
          <w:lang w:val="en-US" w:eastAsia="zh-CN"/>
        </w:rPr>
        <w:t>93.26%</w:t>
      </w:r>
      <w:r>
        <w:rPr>
          <w:rStyle w:val="15"/>
          <w:rFonts w:hint="eastAsia" w:ascii="仿宋" w:hAnsi="仿宋" w:eastAsia="仿宋"/>
          <w:bCs/>
          <w:color w:val="auto"/>
          <w:sz w:val="32"/>
          <w:szCs w:val="32"/>
        </w:rPr>
        <w:t>。其中：</w:t>
      </w:r>
      <w:bookmarkEnd w:id="31"/>
      <w:bookmarkEnd w:id="32"/>
      <w:bookmarkEnd w:id="33"/>
    </w:p>
    <w:p>
      <w:pPr>
        <w:spacing w:line="600" w:lineRule="exact"/>
        <w:ind w:firstLine="643" w:firstLineChars="200"/>
        <w:outlineLvl w:val="2"/>
        <w:rPr>
          <w:rFonts w:ascii="仿宋" w:hAnsi="仿宋" w:eastAsia="仿宋"/>
          <w:color w:val="auto"/>
          <w:sz w:val="32"/>
          <w:szCs w:val="32"/>
        </w:rPr>
      </w:pPr>
      <w:r>
        <w:rPr>
          <w:rFonts w:hint="eastAsia" w:ascii="仿宋" w:hAnsi="仿宋" w:eastAsia="仿宋"/>
          <w:b/>
          <w:color w:val="auto"/>
          <w:sz w:val="32"/>
          <w:szCs w:val="32"/>
        </w:rPr>
        <w:t>20</w:t>
      </w:r>
      <w:r>
        <w:rPr>
          <w:rFonts w:hint="eastAsia" w:ascii="仿宋" w:hAnsi="仿宋" w:eastAsia="仿宋"/>
          <w:b/>
          <w:color w:val="auto"/>
          <w:sz w:val="32"/>
          <w:szCs w:val="32"/>
          <w:lang w:val="en-US" w:eastAsia="zh-CN"/>
        </w:rPr>
        <w:t>20</w:t>
      </w:r>
      <w:r>
        <w:rPr>
          <w:rFonts w:hint="eastAsia" w:ascii="仿宋" w:hAnsi="仿宋" w:eastAsia="仿宋"/>
          <w:b/>
          <w:color w:val="auto"/>
          <w:sz w:val="32"/>
          <w:szCs w:val="32"/>
        </w:rPr>
        <w:t>年</w:t>
      </w:r>
      <w:r>
        <w:rPr>
          <w:rFonts w:hint="eastAsia" w:ascii="仿宋" w:hAnsi="仿宋" w:eastAsia="仿宋"/>
          <w:b/>
          <w:color w:val="auto"/>
          <w:sz w:val="32"/>
          <w:szCs w:val="32"/>
          <w:lang w:eastAsia="zh-CN"/>
        </w:rPr>
        <w:t>一</w:t>
      </w:r>
      <w:r>
        <w:rPr>
          <w:rFonts w:hint="eastAsia" w:ascii="仿宋" w:hAnsi="仿宋" w:eastAsia="仿宋"/>
          <w:b/>
          <w:color w:val="auto"/>
          <w:sz w:val="32"/>
          <w:szCs w:val="32"/>
        </w:rPr>
        <w:t>般公共预算支出决算数为</w:t>
      </w:r>
      <w:r>
        <w:rPr>
          <w:rFonts w:hint="eastAsia" w:ascii="仿宋" w:hAnsi="仿宋" w:eastAsia="仿宋"/>
          <w:b/>
          <w:color w:val="auto"/>
          <w:sz w:val="32"/>
          <w:szCs w:val="32"/>
          <w:lang w:val="en-US" w:eastAsia="zh-CN"/>
        </w:rPr>
        <w:t>2502.66万元</w:t>
      </w:r>
      <w:r>
        <w:rPr>
          <w:rFonts w:hint="eastAsia" w:ascii="仿宋" w:hAnsi="仿宋" w:eastAsia="仿宋"/>
          <w:color w:val="auto"/>
          <w:sz w:val="32"/>
          <w:szCs w:val="32"/>
        </w:rPr>
        <w:t>，</w:t>
      </w:r>
      <w:r>
        <w:rPr>
          <w:rStyle w:val="15"/>
          <w:rFonts w:hint="eastAsia" w:ascii="仿宋" w:hAnsi="仿宋" w:eastAsia="仿宋"/>
          <w:bCs/>
          <w:color w:val="auto"/>
          <w:sz w:val="32"/>
          <w:szCs w:val="32"/>
        </w:rPr>
        <w:t>完成预算</w:t>
      </w:r>
      <w:r>
        <w:rPr>
          <w:rStyle w:val="15"/>
          <w:rFonts w:hint="eastAsia" w:ascii="仿宋" w:hAnsi="仿宋" w:eastAsia="仿宋"/>
          <w:bCs/>
          <w:color w:val="auto"/>
          <w:sz w:val="32"/>
          <w:szCs w:val="32"/>
          <w:lang w:val="en-US" w:eastAsia="zh-CN"/>
        </w:rPr>
        <w:t>93.26</w:t>
      </w:r>
      <w:r>
        <w:rPr>
          <w:rStyle w:val="15"/>
          <w:rFonts w:ascii="仿宋" w:hAnsi="仿宋" w:eastAsia="仿宋"/>
          <w:bCs/>
          <w:color w:val="auto"/>
          <w:sz w:val="32"/>
          <w:szCs w:val="32"/>
        </w:rPr>
        <w:t>%</w:t>
      </w:r>
      <w:r>
        <w:rPr>
          <w:rStyle w:val="15"/>
          <w:rFonts w:hint="eastAsia" w:ascii="仿宋" w:hAnsi="仿宋" w:eastAsia="仿宋"/>
          <w:bCs/>
          <w:color w:val="auto"/>
          <w:sz w:val="32"/>
          <w:szCs w:val="32"/>
        </w:rPr>
        <w:t>。其中：</w:t>
      </w:r>
    </w:p>
    <w:p>
      <w:pPr>
        <w:numPr>
          <w:ilvl w:val="0"/>
          <w:numId w:val="3"/>
        </w:numPr>
        <w:spacing w:line="600" w:lineRule="exact"/>
        <w:ind w:firstLine="643" w:firstLineChars="200"/>
        <w:rPr>
          <w:rFonts w:hint="eastAsia" w:ascii="仿宋_GB2312" w:hAnsi="仿宋_GB2312" w:eastAsia="仿宋_GB2312" w:cs="仿宋_GB2312"/>
          <w:i w:val="0"/>
          <w:caps w:val="0"/>
          <w:color w:val="auto"/>
          <w:spacing w:val="0"/>
          <w:sz w:val="32"/>
          <w:szCs w:val="32"/>
          <w:shd w:val="clear" w:fill="FFFFFF"/>
        </w:rPr>
      </w:pPr>
      <w:r>
        <w:rPr>
          <w:rStyle w:val="15"/>
          <w:rFonts w:hint="eastAsia" w:ascii="仿宋" w:hAnsi="仿宋" w:eastAsia="仿宋"/>
          <w:bCs/>
          <w:color w:val="auto"/>
          <w:sz w:val="32"/>
          <w:szCs w:val="32"/>
        </w:rPr>
        <w:t>教育（类）进修及培训（款）培训支出（项）：</w:t>
      </w:r>
      <w:r>
        <w:rPr>
          <w:rFonts w:hint="eastAsia" w:ascii="仿宋_GB2312" w:hAnsi="仿宋_GB2312" w:eastAsia="仿宋_GB2312" w:cs="仿宋_GB2312"/>
          <w:i w:val="0"/>
          <w:caps w:val="0"/>
          <w:color w:val="auto"/>
          <w:spacing w:val="0"/>
          <w:sz w:val="32"/>
          <w:szCs w:val="32"/>
          <w:shd w:val="clear" w:fill="FFFFFF"/>
        </w:rPr>
        <w:t>支出决算为</w:t>
      </w:r>
      <w:r>
        <w:rPr>
          <w:rFonts w:hint="eastAsia" w:ascii="仿宋_GB2312" w:hAnsi="仿宋_GB2312" w:eastAsia="仿宋_GB2312" w:cs="仿宋_GB2312"/>
          <w:i w:val="0"/>
          <w:caps w:val="0"/>
          <w:color w:val="auto"/>
          <w:spacing w:val="0"/>
          <w:sz w:val="32"/>
          <w:szCs w:val="32"/>
          <w:shd w:val="clear" w:fill="FFFFFF"/>
          <w:lang w:val="en-US" w:eastAsia="zh-CN"/>
        </w:rPr>
        <w:t>30.75</w:t>
      </w:r>
      <w:r>
        <w:rPr>
          <w:rFonts w:hint="eastAsia" w:ascii="仿宋_GB2312" w:hAnsi="仿宋_GB2312" w:eastAsia="仿宋_GB2312" w:cs="仿宋_GB2312"/>
          <w:i w:val="0"/>
          <w:caps w:val="0"/>
          <w:color w:val="auto"/>
          <w:spacing w:val="0"/>
          <w:sz w:val="32"/>
          <w:szCs w:val="32"/>
          <w:shd w:val="clear" w:fill="FFFFFF"/>
        </w:rPr>
        <w:t>万元，完成预算</w:t>
      </w:r>
      <w:r>
        <w:rPr>
          <w:rFonts w:hint="eastAsia" w:ascii="仿宋_GB2312" w:hAnsi="仿宋_GB2312" w:eastAsia="仿宋_GB2312" w:cs="仿宋_GB2312"/>
          <w:i w:val="0"/>
          <w:caps w:val="0"/>
          <w:color w:val="auto"/>
          <w:spacing w:val="0"/>
          <w:sz w:val="32"/>
          <w:szCs w:val="32"/>
          <w:shd w:val="clear" w:fill="FFFFFF"/>
          <w:lang w:val="en-US" w:eastAsia="zh-CN"/>
        </w:rPr>
        <w:t>80.92</w:t>
      </w:r>
      <w:r>
        <w:rPr>
          <w:rFonts w:hint="eastAsia" w:ascii="仿宋_GB2312" w:hAnsi="仿宋_GB2312" w:eastAsia="仿宋_GB2312" w:cs="仿宋_GB2312"/>
          <w:i w:val="0"/>
          <w:caps w:val="0"/>
          <w:color w:val="auto"/>
          <w:spacing w:val="0"/>
          <w:sz w:val="32"/>
          <w:szCs w:val="32"/>
          <w:shd w:val="clear" w:fill="FFFFFF"/>
        </w:rPr>
        <w:t>%，决算数小于预算数的主要原因</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是</w:t>
      </w:r>
      <w:r>
        <w:rPr>
          <w:rFonts w:hint="eastAsia" w:ascii="仿宋_GB2312" w:hAnsi="仿宋_GB2312" w:eastAsia="仿宋_GB2312" w:cs="仿宋_GB2312"/>
          <w:color w:val="auto"/>
          <w:sz w:val="32"/>
          <w:szCs w:val="32"/>
        </w:rPr>
        <w:t>受疫情影响，同时落实政府过紧日子要求，减少培训费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fill="FFFFFF"/>
        </w:rPr>
        <w:t>未使用完经费财政收回。</w:t>
      </w:r>
    </w:p>
    <w:p>
      <w:pPr>
        <w:numPr>
          <w:ilvl w:val="0"/>
          <w:numId w:val="0"/>
        </w:numPr>
        <w:spacing w:line="600" w:lineRule="exact"/>
        <w:rPr>
          <w:rFonts w:hint="eastAsia" w:ascii="仿宋_GB2312" w:hAnsi="仿宋_GB2312" w:eastAsia="仿宋_GB2312" w:cs="仿宋_GB2312"/>
          <w:i w:val="0"/>
          <w:caps w:val="0"/>
          <w:color w:val="595959"/>
          <w:spacing w:val="0"/>
          <w:kern w:val="2"/>
          <w:sz w:val="32"/>
          <w:szCs w:val="32"/>
          <w:shd w:val="clear" w:fill="FFFFFF"/>
          <w:lang w:val="en-US" w:eastAsia="zh-CN" w:bidi="ar-SA"/>
        </w:rPr>
      </w:pPr>
      <w:r>
        <w:rPr>
          <w:rStyle w:val="15"/>
          <w:rFonts w:hint="eastAsia" w:ascii="仿宋" w:hAnsi="仿宋" w:eastAsia="仿宋" w:cs="Times New Roman"/>
          <w:bCs/>
          <w:color w:val="auto"/>
          <w:kern w:val="2"/>
          <w:sz w:val="32"/>
          <w:szCs w:val="32"/>
          <w:lang w:val="en-US" w:eastAsia="zh-CN" w:bidi="ar-SA"/>
        </w:rPr>
        <w:t xml:space="preserve">    2.社会保障和就业（类）行政事业单位养老支出（款）行政单位离退休（项）：</w:t>
      </w:r>
      <w:r>
        <w:rPr>
          <w:rFonts w:hint="eastAsia" w:ascii="仿宋_GB2312" w:hAnsi="仿宋_GB2312" w:eastAsia="仿宋_GB2312" w:cs="仿宋_GB2312"/>
          <w:i w:val="0"/>
          <w:caps w:val="0"/>
          <w:color w:val="595959"/>
          <w:spacing w:val="0"/>
          <w:kern w:val="2"/>
          <w:sz w:val="32"/>
          <w:szCs w:val="32"/>
          <w:shd w:val="clear" w:fill="FFFFFF"/>
          <w:lang w:val="en-US" w:eastAsia="zh-CN" w:bidi="ar-SA"/>
        </w:rPr>
        <w:t>支出决算为12.6万元，完成预算100%。</w:t>
      </w:r>
    </w:p>
    <w:p>
      <w:pPr>
        <w:numPr>
          <w:ilvl w:val="0"/>
          <w:numId w:val="0"/>
        </w:numPr>
        <w:spacing w:line="600" w:lineRule="exact"/>
        <w:rPr>
          <w:rStyle w:val="15"/>
          <w:rFonts w:hint="eastAsia" w:ascii="仿宋" w:hAnsi="仿宋" w:eastAsia="仿宋"/>
          <w:bCs/>
          <w:color w:val="auto"/>
          <w:sz w:val="32"/>
          <w:szCs w:val="32"/>
        </w:rPr>
      </w:pPr>
      <w:r>
        <w:rPr>
          <w:rStyle w:val="15"/>
          <w:rFonts w:hint="eastAsia" w:ascii="仿宋" w:hAnsi="仿宋" w:eastAsia="仿宋"/>
          <w:bCs/>
          <w:color w:val="auto"/>
          <w:sz w:val="32"/>
          <w:szCs w:val="32"/>
          <w:lang w:val="en-US" w:eastAsia="zh-CN"/>
        </w:rPr>
        <w:t xml:space="preserve">    3.社会保障和就业（类）行政事业单位养老支出（款）机关事业单位基本养老保险缴费支出（项）：</w:t>
      </w:r>
      <w:r>
        <w:rPr>
          <w:rStyle w:val="15"/>
          <w:rFonts w:hint="eastAsia" w:ascii="仿宋_GB2312" w:hAnsi="仿宋_GB2312" w:eastAsia="仿宋_GB2312" w:cs="仿宋_GB2312"/>
          <w:b w:val="0"/>
          <w:bCs w:val="0"/>
          <w:color w:val="auto"/>
          <w:sz w:val="32"/>
          <w:szCs w:val="32"/>
        </w:rPr>
        <w:t>支出决算为</w:t>
      </w:r>
      <w:r>
        <w:rPr>
          <w:rStyle w:val="15"/>
          <w:rFonts w:hint="eastAsia" w:ascii="仿宋_GB2312" w:hAnsi="仿宋_GB2312" w:eastAsia="仿宋_GB2312" w:cs="仿宋_GB2312"/>
          <w:b w:val="0"/>
          <w:bCs w:val="0"/>
          <w:color w:val="auto"/>
          <w:sz w:val="32"/>
          <w:szCs w:val="32"/>
          <w:lang w:val="en-US" w:eastAsia="zh-CN"/>
        </w:rPr>
        <w:t>68.3</w:t>
      </w:r>
      <w:r>
        <w:rPr>
          <w:rStyle w:val="15"/>
          <w:rFonts w:hint="eastAsia" w:ascii="仿宋_GB2312" w:hAnsi="仿宋_GB2312" w:eastAsia="仿宋_GB2312" w:cs="仿宋_GB2312"/>
          <w:b w:val="0"/>
          <w:bCs w:val="0"/>
          <w:color w:val="auto"/>
          <w:sz w:val="32"/>
          <w:szCs w:val="32"/>
        </w:rPr>
        <w:t>万元，完成预算</w:t>
      </w:r>
      <w:r>
        <w:rPr>
          <w:rStyle w:val="15"/>
          <w:rFonts w:hint="eastAsia" w:ascii="仿宋_GB2312" w:hAnsi="仿宋_GB2312" w:eastAsia="仿宋_GB2312" w:cs="仿宋_GB2312"/>
          <w:b w:val="0"/>
          <w:bCs w:val="0"/>
          <w:color w:val="auto"/>
          <w:sz w:val="32"/>
          <w:szCs w:val="32"/>
          <w:lang w:val="en-US" w:eastAsia="zh-CN"/>
        </w:rPr>
        <w:t>100%</w:t>
      </w:r>
      <w:r>
        <w:rPr>
          <w:rStyle w:val="15"/>
          <w:rFonts w:hint="eastAsia" w:ascii="仿宋_GB2312" w:hAnsi="仿宋_GB2312" w:eastAsia="仿宋_GB2312" w:cs="仿宋_GB2312"/>
          <w:b w:val="0"/>
          <w:bCs w:val="0"/>
          <w:color w:val="auto"/>
          <w:sz w:val="32"/>
          <w:szCs w:val="32"/>
        </w:rPr>
        <w:t>。 </w:t>
      </w:r>
    </w:p>
    <w:p>
      <w:pPr>
        <w:numPr>
          <w:ilvl w:val="0"/>
          <w:numId w:val="0"/>
        </w:numPr>
        <w:spacing w:line="600" w:lineRule="exact"/>
        <w:rPr>
          <w:rStyle w:val="15"/>
          <w:rFonts w:hint="eastAsia" w:ascii="仿宋_GB2312" w:hAnsi="仿宋_GB2312" w:eastAsia="仿宋_GB2312" w:cs="仿宋_GB2312"/>
          <w:b w:val="0"/>
          <w:bCs w:val="0"/>
          <w:color w:val="auto"/>
          <w:sz w:val="32"/>
          <w:szCs w:val="32"/>
        </w:rPr>
      </w:pPr>
      <w:r>
        <w:rPr>
          <w:rStyle w:val="15"/>
          <w:rFonts w:hint="eastAsia" w:ascii="仿宋" w:hAnsi="仿宋" w:eastAsia="仿宋"/>
          <w:bCs/>
          <w:color w:val="auto"/>
          <w:sz w:val="32"/>
          <w:szCs w:val="32"/>
          <w:lang w:val="en-US" w:eastAsia="zh-CN"/>
        </w:rPr>
        <w:t xml:space="preserve">    4．社会保障和就业（类）行政事业单位养老支出（款）机关事业单位职业年金缴费支出（项）：</w:t>
      </w:r>
      <w:r>
        <w:rPr>
          <w:rStyle w:val="15"/>
          <w:rFonts w:hint="eastAsia" w:ascii="仿宋_GB2312" w:hAnsi="仿宋_GB2312" w:eastAsia="仿宋_GB2312" w:cs="仿宋_GB2312"/>
          <w:b w:val="0"/>
          <w:bCs w:val="0"/>
          <w:color w:val="auto"/>
          <w:sz w:val="32"/>
          <w:szCs w:val="32"/>
        </w:rPr>
        <w:t>支出决算为</w:t>
      </w:r>
      <w:r>
        <w:rPr>
          <w:rStyle w:val="15"/>
          <w:rFonts w:hint="eastAsia" w:ascii="仿宋_GB2312" w:hAnsi="仿宋_GB2312" w:eastAsia="仿宋_GB2312" w:cs="仿宋_GB2312"/>
          <w:b w:val="0"/>
          <w:bCs w:val="0"/>
          <w:color w:val="auto"/>
          <w:sz w:val="32"/>
          <w:szCs w:val="32"/>
          <w:lang w:val="en-US" w:eastAsia="zh-CN"/>
        </w:rPr>
        <w:t>0.29</w:t>
      </w:r>
      <w:r>
        <w:rPr>
          <w:rStyle w:val="15"/>
          <w:rFonts w:hint="eastAsia" w:ascii="仿宋_GB2312" w:hAnsi="仿宋_GB2312" w:eastAsia="仿宋_GB2312" w:cs="仿宋_GB2312"/>
          <w:b w:val="0"/>
          <w:bCs w:val="0"/>
          <w:color w:val="auto"/>
          <w:sz w:val="32"/>
          <w:szCs w:val="32"/>
        </w:rPr>
        <w:t>万元，完成预算100%。 </w:t>
      </w:r>
    </w:p>
    <w:p>
      <w:pPr>
        <w:numPr>
          <w:ilvl w:val="0"/>
          <w:numId w:val="0"/>
        </w:numPr>
        <w:spacing w:line="600" w:lineRule="exact"/>
        <w:rPr>
          <w:rStyle w:val="15"/>
          <w:rFonts w:hint="eastAsia" w:ascii="仿宋" w:hAnsi="仿宋" w:eastAsia="仿宋"/>
          <w:bCs/>
          <w:color w:val="auto"/>
          <w:sz w:val="32"/>
          <w:szCs w:val="32"/>
        </w:rPr>
      </w:pPr>
      <w:r>
        <w:rPr>
          <w:rStyle w:val="15"/>
          <w:rFonts w:hint="eastAsia" w:ascii="仿宋" w:hAnsi="仿宋" w:eastAsia="仿宋"/>
          <w:bCs/>
          <w:color w:val="auto"/>
          <w:sz w:val="32"/>
          <w:szCs w:val="32"/>
          <w:lang w:val="en-US" w:eastAsia="zh-CN"/>
        </w:rPr>
        <w:t xml:space="preserve">    5</w:t>
      </w:r>
      <w:r>
        <w:rPr>
          <w:rStyle w:val="15"/>
          <w:rFonts w:hint="eastAsia" w:ascii="仿宋" w:hAnsi="仿宋" w:eastAsia="仿宋"/>
          <w:bCs/>
          <w:color w:val="auto"/>
          <w:sz w:val="32"/>
          <w:szCs w:val="32"/>
        </w:rPr>
        <w:t>.卫生健康（类）</w:t>
      </w:r>
      <w:r>
        <w:rPr>
          <w:rStyle w:val="15"/>
          <w:rFonts w:hint="eastAsia" w:ascii="仿宋" w:hAnsi="仿宋" w:eastAsia="仿宋"/>
          <w:bCs/>
          <w:color w:val="auto"/>
          <w:sz w:val="32"/>
          <w:szCs w:val="32"/>
          <w:lang w:eastAsia="zh-CN"/>
        </w:rPr>
        <w:t>行政事业单位医疗</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行政单位医疗</w:t>
      </w:r>
      <w:r>
        <w:rPr>
          <w:rStyle w:val="15"/>
          <w:rFonts w:hint="eastAsia" w:ascii="仿宋" w:hAnsi="仿宋" w:eastAsia="仿宋"/>
          <w:bCs/>
          <w:color w:val="auto"/>
          <w:sz w:val="32"/>
          <w:szCs w:val="32"/>
        </w:rPr>
        <w:t>（项）:</w:t>
      </w:r>
      <w:r>
        <w:rPr>
          <w:rStyle w:val="15"/>
          <w:rFonts w:hint="eastAsia" w:ascii="仿宋" w:hAnsi="仿宋" w:eastAsia="仿宋"/>
          <w:b w:val="0"/>
          <w:bCs w:val="0"/>
          <w:color w:val="auto"/>
          <w:sz w:val="32"/>
          <w:szCs w:val="32"/>
        </w:rPr>
        <w:t>支出决算为</w:t>
      </w:r>
      <w:r>
        <w:rPr>
          <w:rStyle w:val="15"/>
          <w:rFonts w:hint="eastAsia" w:ascii="仿宋" w:hAnsi="仿宋" w:eastAsia="仿宋"/>
          <w:b w:val="0"/>
          <w:bCs w:val="0"/>
          <w:color w:val="auto"/>
          <w:sz w:val="32"/>
          <w:szCs w:val="32"/>
          <w:lang w:val="en-US" w:eastAsia="zh-CN"/>
        </w:rPr>
        <w:t>9.18</w:t>
      </w:r>
      <w:r>
        <w:rPr>
          <w:rStyle w:val="15"/>
          <w:rFonts w:hint="eastAsia" w:ascii="仿宋" w:hAnsi="仿宋" w:eastAsia="仿宋"/>
          <w:b w:val="0"/>
          <w:bCs w:val="0"/>
          <w:color w:val="auto"/>
          <w:sz w:val="32"/>
          <w:szCs w:val="32"/>
        </w:rPr>
        <w:t>万元，完成预算</w:t>
      </w:r>
      <w:r>
        <w:rPr>
          <w:rStyle w:val="15"/>
          <w:rFonts w:hint="eastAsia" w:ascii="仿宋" w:hAnsi="仿宋" w:eastAsia="仿宋"/>
          <w:b w:val="0"/>
          <w:bCs w:val="0"/>
          <w:color w:val="auto"/>
          <w:sz w:val="32"/>
          <w:szCs w:val="32"/>
          <w:lang w:val="en-US" w:eastAsia="zh-CN"/>
        </w:rPr>
        <w:t>98.61</w:t>
      </w:r>
      <w:r>
        <w:rPr>
          <w:rStyle w:val="15"/>
          <w:rFonts w:hint="eastAsia" w:ascii="仿宋" w:hAnsi="仿宋" w:eastAsia="仿宋"/>
          <w:b w:val="0"/>
          <w:bCs w:val="0"/>
          <w:color w:val="auto"/>
          <w:sz w:val="32"/>
          <w:szCs w:val="32"/>
        </w:rPr>
        <w:t>%，决算数小于预算数的主要原因是医疗</w:t>
      </w:r>
      <w:r>
        <w:rPr>
          <w:rStyle w:val="15"/>
          <w:rFonts w:hint="eastAsia" w:ascii="仿宋" w:hAnsi="仿宋" w:eastAsia="仿宋"/>
          <w:b w:val="0"/>
          <w:bCs w:val="0"/>
          <w:color w:val="auto"/>
          <w:sz w:val="32"/>
          <w:szCs w:val="32"/>
          <w:lang w:eastAsia="zh-CN"/>
        </w:rPr>
        <w:t>保险</w:t>
      </w:r>
      <w:r>
        <w:rPr>
          <w:rStyle w:val="15"/>
          <w:rFonts w:hint="eastAsia" w:ascii="仿宋" w:hAnsi="仿宋" w:eastAsia="仿宋"/>
          <w:b w:val="0"/>
          <w:bCs w:val="0"/>
          <w:color w:val="auto"/>
          <w:sz w:val="32"/>
          <w:szCs w:val="32"/>
        </w:rPr>
        <w:t>基数未加入绩效考核。</w:t>
      </w:r>
    </w:p>
    <w:p>
      <w:pPr>
        <w:spacing w:line="600" w:lineRule="exact"/>
        <w:rPr>
          <w:rFonts w:ascii="仿宋" w:hAnsi="仿宋" w:eastAsia="仿宋"/>
          <w:b/>
          <w:color w:val="auto"/>
          <w:sz w:val="32"/>
          <w:szCs w:val="32"/>
        </w:rPr>
      </w:pPr>
      <w:r>
        <w:rPr>
          <w:rStyle w:val="15"/>
          <w:rFonts w:hint="eastAsia" w:ascii="仿宋" w:hAnsi="仿宋" w:eastAsia="仿宋"/>
          <w:bCs/>
          <w:color w:val="auto"/>
          <w:sz w:val="32"/>
          <w:szCs w:val="32"/>
          <w:lang w:val="en-US" w:eastAsia="zh-CN"/>
        </w:rPr>
        <w:t xml:space="preserve">    6</w:t>
      </w:r>
      <w:r>
        <w:rPr>
          <w:rStyle w:val="15"/>
          <w:rFonts w:ascii="仿宋" w:hAnsi="仿宋" w:eastAsia="仿宋"/>
          <w:bCs/>
          <w:color w:val="auto"/>
          <w:sz w:val="32"/>
          <w:szCs w:val="32"/>
        </w:rPr>
        <w:t>.</w:t>
      </w:r>
      <w:r>
        <w:rPr>
          <w:rFonts w:hint="eastAsia" w:ascii="仿宋" w:hAnsi="仿宋" w:eastAsia="仿宋"/>
          <w:b/>
          <w:bCs/>
          <w:color w:val="auto"/>
          <w:sz w:val="32"/>
          <w:szCs w:val="32"/>
        </w:rPr>
        <w:t>卫生健康</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行政事业单位医疗</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事业单位医疗</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_GB2312" w:hAnsi="仿宋_GB2312" w:eastAsia="仿宋_GB2312" w:cs="仿宋_GB2312"/>
          <w:b w:val="0"/>
          <w:bCs/>
          <w:color w:val="auto"/>
          <w:sz w:val="32"/>
          <w:szCs w:val="32"/>
        </w:rPr>
        <w:t>支出决算为</w:t>
      </w:r>
      <w:r>
        <w:rPr>
          <w:rStyle w:val="15"/>
          <w:rFonts w:hint="eastAsia" w:ascii="仿宋_GB2312" w:hAnsi="仿宋_GB2312" w:eastAsia="仿宋_GB2312" w:cs="仿宋_GB2312"/>
          <w:b w:val="0"/>
          <w:bCs/>
          <w:color w:val="auto"/>
          <w:sz w:val="32"/>
          <w:szCs w:val="32"/>
          <w:lang w:val="en-US" w:eastAsia="zh-CN"/>
        </w:rPr>
        <w:t>45.07</w:t>
      </w:r>
      <w:r>
        <w:rPr>
          <w:rStyle w:val="15"/>
          <w:rFonts w:hint="eastAsia" w:ascii="仿宋_GB2312" w:hAnsi="仿宋_GB2312" w:eastAsia="仿宋_GB2312" w:cs="仿宋_GB2312"/>
          <w:b w:val="0"/>
          <w:bCs/>
          <w:color w:val="auto"/>
          <w:sz w:val="32"/>
          <w:szCs w:val="32"/>
        </w:rPr>
        <w:t>万元，完成预算</w:t>
      </w:r>
      <w:r>
        <w:rPr>
          <w:rStyle w:val="15"/>
          <w:rFonts w:hint="eastAsia" w:ascii="仿宋_GB2312" w:hAnsi="仿宋_GB2312" w:eastAsia="仿宋_GB2312" w:cs="仿宋_GB2312"/>
          <w:b w:val="0"/>
          <w:bCs/>
          <w:color w:val="auto"/>
          <w:sz w:val="32"/>
          <w:szCs w:val="32"/>
          <w:lang w:val="en-US" w:eastAsia="zh-CN"/>
        </w:rPr>
        <w:t>93.01</w:t>
      </w:r>
      <w:r>
        <w:rPr>
          <w:rStyle w:val="15"/>
          <w:rFonts w:hint="eastAsia" w:ascii="仿宋_GB2312" w:hAnsi="仿宋_GB2312" w:eastAsia="仿宋_GB2312" w:cs="仿宋_GB2312"/>
          <w:b w:val="0"/>
          <w:bCs/>
          <w:color w:val="auto"/>
          <w:sz w:val="32"/>
          <w:szCs w:val="32"/>
        </w:rPr>
        <w:t>%，决算数小于预算数的主要原因是</w:t>
      </w:r>
      <w:r>
        <w:rPr>
          <w:rFonts w:hint="eastAsia" w:ascii="仿宋_GB2312" w:hAnsi="仿宋_GB2312" w:eastAsia="仿宋_GB2312" w:cs="仿宋_GB2312"/>
          <w:sz w:val="32"/>
          <w:szCs w:val="32"/>
        </w:rPr>
        <w:t>医疗</w:t>
      </w:r>
      <w:r>
        <w:rPr>
          <w:rFonts w:hint="eastAsia" w:ascii="仿宋_GB2312" w:hAnsi="仿宋_GB2312" w:eastAsia="仿宋_GB2312" w:cs="仿宋_GB2312"/>
          <w:sz w:val="32"/>
          <w:szCs w:val="32"/>
          <w:lang w:eastAsia="zh-CN"/>
        </w:rPr>
        <w:t>保险</w:t>
      </w:r>
      <w:r>
        <w:rPr>
          <w:rFonts w:hint="eastAsia" w:ascii="仿宋_GB2312" w:hAnsi="仿宋_GB2312" w:eastAsia="仿宋_GB2312" w:cs="仿宋_GB2312"/>
          <w:sz w:val="32"/>
          <w:szCs w:val="32"/>
        </w:rPr>
        <w:t>基数未加入绩效考核</w:t>
      </w:r>
      <w:r>
        <w:rPr>
          <w:rStyle w:val="15"/>
          <w:rFonts w:hint="eastAsia" w:ascii="仿宋_GB2312" w:hAnsi="仿宋_GB2312" w:eastAsia="仿宋_GB2312" w:cs="仿宋_GB2312"/>
          <w:b w:val="0"/>
          <w:bCs/>
          <w:color w:val="auto"/>
          <w:sz w:val="32"/>
          <w:szCs w:val="32"/>
        </w:rPr>
        <w:t>。</w:t>
      </w:r>
    </w:p>
    <w:p>
      <w:pPr>
        <w:spacing w:line="600" w:lineRule="exact"/>
        <w:ind w:firstLine="642"/>
        <w:rPr>
          <w:rStyle w:val="15"/>
          <w:rFonts w:hint="eastAsia" w:ascii="仿宋_GB2312" w:hAnsi="仿宋_GB2312" w:eastAsia="仿宋_GB2312" w:cs="仿宋_GB2312"/>
          <w:b w:val="0"/>
          <w:bCs/>
          <w:color w:val="auto"/>
          <w:sz w:val="32"/>
          <w:szCs w:val="32"/>
        </w:rPr>
      </w:pPr>
      <w:r>
        <w:rPr>
          <w:rStyle w:val="15"/>
          <w:rFonts w:hint="eastAsia" w:ascii="仿宋" w:hAnsi="仿宋" w:eastAsia="仿宋"/>
          <w:bCs/>
          <w:color w:val="auto"/>
          <w:sz w:val="32"/>
          <w:szCs w:val="32"/>
          <w:lang w:val="en-US" w:eastAsia="zh-CN"/>
        </w:rPr>
        <w:t>7</w:t>
      </w:r>
      <w:r>
        <w:rPr>
          <w:rStyle w:val="15"/>
          <w:rFonts w:ascii="仿宋" w:hAnsi="仿宋" w:eastAsia="仿宋"/>
          <w:bCs/>
          <w:color w:val="auto"/>
          <w:sz w:val="32"/>
          <w:szCs w:val="32"/>
        </w:rPr>
        <w:t>.</w:t>
      </w:r>
      <w:r>
        <w:rPr>
          <w:rFonts w:hint="eastAsia" w:ascii="仿宋" w:hAnsi="仿宋" w:eastAsia="仿宋"/>
          <w:b/>
          <w:bCs/>
          <w:color w:val="auto"/>
          <w:sz w:val="32"/>
          <w:szCs w:val="32"/>
        </w:rPr>
        <w:t>卫生健康</w:t>
      </w:r>
      <w:r>
        <w:rPr>
          <w:rStyle w:val="15"/>
          <w:rFonts w:hint="eastAsia" w:ascii="仿宋" w:hAnsi="仿宋" w:eastAsia="仿宋"/>
          <w:bCs/>
          <w:color w:val="auto"/>
          <w:sz w:val="32"/>
          <w:szCs w:val="32"/>
        </w:rPr>
        <w:t>（类）</w:t>
      </w:r>
      <w:r>
        <w:rPr>
          <w:rStyle w:val="15"/>
          <w:rFonts w:hint="eastAsia" w:ascii="仿宋" w:hAnsi="仿宋" w:eastAsia="仿宋"/>
          <w:bCs/>
          <w:color w:val="auto"/>
          <w:sz w:val="32"/>
          <w:szCs w:val="32"/>
          <w:lang w:eastAsia="zh-CN"/>
        </w:rPr>
        <w:t>行政事业单位医疗</w:t>
      </w:r>
      <w:r>
        <w:rPr>
          <w:rStyle w:val="15"/>
          <w:rFonts w:hint="eastAsia" w:ascii="仿宋" w:hAnsi="仿宋" w:eastAsia="仿宋"/>
          <w:bCs/>
          <w:color w:val="auto"/>
          <w:sz w:val="32"/>
          <w:szCs w:val="32"/>
        </w:rPr>
        <w:t>（款）</w:t>
      </w:r>
      <w:r>
        <w:rPr>
          <w:rStyle w:val="15"/>
          <w:rFonts w:hint="eastAsia" w:ascii="仿宋" w:hAnsi="仿宋" w:eastAsia="仿宋"/>
          <w:bCs/>
          <w:color w:val="auto"/>
          <w:sz w:val="32"/>
          <w:szCs w:val="32"/>
          <w:lang w:eastAsia="zh-CN"/>
        </w:rPr>
        <w:t>公务员医疗补助</w:t>
      </w:r>
      <w:r>
        <w:rPr>
          <w:rStyle w:val="15"/>
          <w:rFonts w:hint="eastAsia" w:ascii="仿宋" w:hAnsi="仿宋" w:eastAsia="仿宋"/>
          <w:bCs/>
          <w:color w:val="auto"/>
          <w:sz w:val="32"/>
          <w:szCs w:val="32"/>
        </w:rPr>
        <w:t>（项）</w:t>
      </w:r>
      <w:r>
        <w:rPr>
          <w:rStyle w:val="15"/>
          <w:rFonts w:ascii="仿宋" w:hAnsi="仿宋" w:eastAsia="仿宋"/>
          <w:bCs/>
          <w:color w:val="auto"/>
          <w:sz w:val="32"/>
          <w:szCs w:val="32"/>
        </w:rPr>
        <w:t>:</w:t>
      </w:r>
      <w:r>
        <w:rPr>
          <w:rStyle w:val="15"/>
          <w:rFonts w:hint="eastAsia" w:ascii="仿宋_GB2312" w:hAnsi="仿宋_GB2312" w:eastAsia="仿宋_GB2312" w:cs="仿宋_GB2312"/>
          <w:b w:val="0"/>
          <w:bCs/>
          <w:color w:val="auto"/>
          <w:sz w:val="32"/>
          <w:szCs w:val="32"/>
        </w:rPr>
        <w:t>支出决算为</w:t>
      </w:r>
      <w:r>
        <w:rPr>
          <w:rStyle w:val="15"/>
          <w:rFonts w:hint="eastAsia" w:ascii="仿宋_GB2312" w:hAnsi="仿宋_GB2312" w:eastAsia="仿宋_GB2312" w:cs="仿宋_GB2312"/>
          <w:b w:val="0"/>
          <w:bCs/>
          <w:color w:val="auto"/>
          <w:sz w:val="32"/>
          <w:szCs w:val="32"/>
          <w:lang w:val="en-US" w:eastAsia="zh-CN"/>
        </w:rPr>
        <w:t>9.75</w:t>
      </w:r>
      <w:r>
        <w:rPr>
          <w:rStyle w:val="15"/>
          <w:rFonts w:hint="eastAsia" w:ascii="仿宋_GB2312" w:hAnsi="仿宋_GB2312" w:eastAsia="仿宋_GB2312" w:cs="仿宋_GB2312"/>
          <w:b w:val="0"/>
          <w:bCs/>
          <w:color w:val="auto"/>
          <w:sz w:val="32"/>
          <w:szCs w:val="32"/>
        </w:rPr>
        <w:t>万元，完成预算</w:t>
      </w:r>
      <w:r>
        <w:rPr>
          <w:rStyle w:val="15"/>
          <w:rFonts w:hint="eastAsia" w:ascii="仿宋_GB2312" w:hAnsi="仿宋_GB2312" w:eastAsia="仿宋_GB2312" w:cs="仿宋_GB2312"/>
          <w:b w:val="0"/>
          <w:bCs/>
          <w:color w:val="auto"/>
          <w:sz w:val="32"/>
          <w:szCs w:val="32"/>
          <w:lang w:val="en-US" w:eastAsia="zh-CN"/>
        </w:rPr>
        <w:t>100</w:t>
      </w:r>
      <w:r>
        <w:rPr>
          <w:rStyle w:val="15"/>
          <w:rFonts w:hint="eastAsia" w:ascii="仿宋_GB2312" w:hAnsi="仿宋_GB2312" w:eastAsia="仿宋_GB2312" w:cs="仿宋_GB2312"/>
          <w:b w:val="0"/>
          <w:bCs/>
          <w:color w:val="auto"/>
          <w:sz w:val="32"/>
          <w:szCs w:val="32"/>
        </w:rPr>
        <w:t>%。</w:t>
      </w:r>
    </w:p>
    <w:p>
      <w:pPr>
        <w:pStyle w:val="2"/>
        <w:ind w:firstLine="642"/>
        <w:rPr>
          <w:rFonts w:hint="eastAsia" w:ascii="宋体" w:hAnsi="宋体" w:eastAsia="宋体" w:cs="宋体"/>
          <w:i w:val="0"/>
          <w:caps w:val="0"/>
          <w:color w:val="595959"/>
          <w:spacing w:val="0"/>
          <w:sz w:val="24"/>
          <w:szCs w:val="24"/>
          <w:shd w:val="clear" w:fill="FFFFFF"/>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节能环保支出（类）环境保护管理事务（款）行政</w:t>
      </w: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运行</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（项）：</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支出决算为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756.61</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万元，完成预算</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98.96</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%，主要原因是严格执行厉行节约有关规定</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，办公费等支出减少</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w:t>
      </w:r>
      <w:r>
        <w:rPr>
          <w:rFonts w:hint="eastAsia" w:ascii="宋体" w:hAnsi="宋体" w:eastAsia="宋体" w:cs="宋体"/>
          <w:i w:val="0"/>
          <w:caps w:val="0"/>
          <w:color w:val="595959"/>
          <w:spacing w:val="0"/>
          <w:sz w:val="24"/>
          <w:szCs w:val="24"/>
          <w:shd w:val="clear" w:fill="FFFFFF"/>
        </w:rPr>
        <w:t> </w:t>
      </w:r>
    </w:p>
    <w:p>
      <w:pPr>
        <w:spacing w:line="600" w:lineRule="exact"/>
        <w:ind w:firstLine="643" w:firstLineChars="200"/>
        <w:rPr>
          <w:rStyle w:val="15"/>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bCs/>
          <w:i w:val="0"/>
          <w:caps w:val="0"/>
          <w:color w:val="000000" w:themeColor="text1"/>
          <w:spacing w:val="0"/>
          <w:sz w:val="32"/>
          <w:szCs w:val="32"/>
          <w:shd w:val="clear" w:fill="FFFFFF"/>
          <w:lang w:val="en-US" w:eastAsia="zh-CN"/>
          <w14:textFill>
            <w14:solidFill>
              <w14:schemeClr w14:val="tx1"/>
            </w14:solidFill>
          </w14:textFill>
        </w:rPr>
        <w:t>9.</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节能环保支出（类）</w:t>
      </w: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污染减排</w:t>
      </w:r>
      <w:r>
        <w:rPr>
          <w:rFonts w:hint="eastAsia" w:ascii="仿宋_GB2312" w:hAnsi="仿宋_GB2312" w:eastAsia="仿宋_GB2312" w:cs="仿宋_GB2312"/>
          <w:b/>
          <w:bCs/>
          <w:i w:val="0"/>
          <w:caps w:val="0"/>
          <w:color w:val="000000" w:themeColor="text1"/>
          <w:spacing w:val="0"/>
          <w:sz w:val="32"/>
          <w:szCs w:val="32"/>
          <w:shd w:val="clear" w:fill="FFFFFF"/>
          <w14:textFill>
            <w14:solidFill>
              <w14:schemeClr w14:val="tx1"/>
            </w14:solidFill>
          </w14:textFill>
        </w:rPr>
        <w:t>（款）生态环境执法监察（项）</w:t>
      </w:r>
      <w:r>
        <w:rPr>
          <w:rFonts w:hint="eastAsia" w:ascii="仿宋_GB2312" w:hAnsi="仿宋_GB2312" w:eastAsia="仿宋_GB2312" w:cs="仿宋_GB2312"/>
          <w:b/>
          <w:bCs/>
          <w:i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caps w:val="0"/>
          <w:color w:val="auto"/>
          <w:spacing w:val="0"/>
          <w:sz w:val="32"/>
          <w:szCs w:val="32"/>
          <w:shd w:val="clear" w:fill="FFFFFF"/>
        </w:rPr>
        <w:t>支出决算为</w:t>
      </w:r>
      <w:r>
        <w:rPr>
          <w:rFonts w:hint="eastAsia" w:ascii="仿宋_GB2312" w:hAnsi="仿宋_GB2312" w:eastAsia="仿宋_GB2312" w:cs="仿宋_GB2312"/>
          <w:i w:val="0"/>
          <w:caps w:val="0"/>
          <w:color w:val="auto"/>
          <w:spacing w:val="0"/>
          <w:sz w:val="32"/>
          <w:szCs w:val="32"/>
          <w:shd w:val="clear" w:fill="FFFFFF"/>
          <w:lang w:val="en-US" w:eastAsia="zh-CN"/>
        </w:rPr>
        <w:t>1349.66</w:t>
      </w:r>
      <w:r>
        <w:rPr>
          <w:rFonts w:hint="eastAsia" w:ascii="仿宋_GB2312" w:hAnsi="仿宋_GB2312" w:eastAsia="仿宋_GB2312" w:cs="仿宋_GB2312"/>
          <w:i w:val="0"/>
          <w:caps w:val="0"/>
          <w:color w:val="auto"/>
          <w:spacing w:val="0"/>
          <w:sz w:val="32"/>
          <w:szCs w:val="32"/>
          <w:shd w:val="clear" w:fill="FFFFFF"/>
        </w:rPr>
        <w:t>万元，完成预算</w:t>
      </w:r>
      <w:r>
        <w:rPr>
          <w:rFonts w:hint="eastAsia" w:ascii="仿宋_GB2312" w:hAnsi="仿宋_GB2312" w:eastAsia="仿宋_GB2312" w:cs="仿宋_GB2312"/>
          <w:i w:val="0"/>
          <w:caps w:val="0"/>
          <w:color w:val="auto"/>
          <w:spacing w:val="0"/>
          <w:sz w:val="32"/>
          <w:szCs w:val="32"/>
          <w:shd w:val="clear" w:fill="FFFFFF"/>
          <w:lang w:val="en-US" w:eastAsia="zh-CN"/>
        </w:rPr>
        <w:t>79.9</w:t>
      </w:r>
      <w:r>
        <w:rPr>
          <w:rFonts w:hint="eastAsia" w:ascii="仿宋_GB2312" w:hAnsi="仿宋_GB2312" w:eastAsia="仿宋_GB2312" w:cs="仿宋_GB2312"/>
          <w:i w:val="0"/>
          <w:caps w:val="0"/>
          <w:color w:val="auto"/>
          <w:spacing w:val="0"/>
          <w:sz w:val="32"/>
          <w:szCs w:val="32"/>
          <w:shd w:val="clear" w:fill="FFFFFF"/>
        </w:rPr>
        <w:t>%，主要原因</w:t>
      </w:r>
      <w:r>
        <w:rPr>
          <w:rFonts w:hint="eastAsia" w:ascii="仿宋_GB2312" w:hAnsi="仿宋_GB2312" w:eastAsia="仿宋_GB2312" w:cs="仿宋_GB2312"/>
          <w:i w:val="0"/>
          <w:caps w:val="0"/>
          <w:color w:val="auto"/>
          <w:spacing w:val="0"/>
          <w:sz w:val="32"/>
          <w:szCs w:val="32"/>
          <w:shd w:val="clear" w:fill="FFFFFF"/>
          <w:lang w:eastAsia="zh-CN"/>
        </w:rPr>
        <w:t>一是</w:t>
      </w:r>
      <w:r>
        <w:rPr>
          <w:rFonts w:hint="eastAsia" w:ascii="仿宋_GB2312" w:hAnsi="仿宋_GB2312" w:eastAsia="仿宋_GB2312" w:cs="仿宋_GB2312"/>
          <w:color w:val="auto"/>
          <w:sz w:val="32"/>
          <w:szCs w:val="32"/>
        </w:rPr>
        <w:t>受疫情影响，同时落实政府过紧日子要求，</w:t>
      </w:r>
      <w:r>
        <w:rPr>
          <w:rFonts w:hint="eastAsia" w:ascii="仿宋_GB2312" w:hAnsi="仿宋_GB2312" w:eastAsia="仿宋_GB2312" w:cs="仿宋_GB2312"/>
          <w:color w:val="auto"/>
          <w:sz w:val="32"/>
          <w:szCs w:val="32"/>
          <w:lang w:eastAsia="zh-CN"/>
        </w:rPr>
        <w:t>减少公务接待、差旅费等支出；二是信息化建设及运行维护费</w:t>
      </w:r>
      <w:r>
        <w:rPr>
          <w:rFonts w:hint="eastAsia" w:ascii="仿宋_GB2312" w:hAnsi="仿宋_GB2312" w:eastAsia="仿宋_GB2312" w:cs="仿宋_GB2312"/>
          <w:i w:val="0"/>
          <w:caps w:val="0"/>
          <w:color w:val="auto"/>
          <w:spacing w:val="0"/>
          <w:sz w:val="32"/>
          <w:szCs w:val="32"/>
          <w:shd w:val="clear" w:fill="FFFFFF"/>
          <w:lang w:val="en-US" w:eastAsia="zh-CN"/>
        </w:rPr>
        <w:t>项目中重点污染源视频监控系统光纤租用低价中标，结余资金94.8万元；三是</w:t>
      </w:r>
      <w:r>
        <w:rPr>
          <w:rFonts w:hint="eastAsia" w:ascii="仿宋_GB2312" w:hAnsi="仿宋_GB2312" w:eastAsia="仿宋_GB2312" w:cs="仿宋_GB2312"/>
          <w:i w:val="0"/>
          <w:caps w:val="0"/>
          <w:color w:val="auto"/>
          <w:spacing w:val="0"/>
          <w:sz w:val="32"/>
          <w:szCs w:val="32"/>
          <w:shd w:val="clear" w:fill="FFFFFF"/>
        </w:rPr>
        <w:t>未使用完经费财政收回。</w:t>
      </w:r>
      <w:r>
        <w:rPr>
          <w:rStyle w:val="15"/>
          <w:rFonts w:hint="eastAsia" w:ascii="仿宋_GB2312" w:hAnsi="仿宋_GB2312" w:eastAsia="仿宋_GB2312" w:cs="仿宋_GB2312"/>
          <w:b w:val="0"/>
          <w:bCs/>
          <w:color w:val="auto"/>
          <w:sz w:val="32"/>
          <w:szCs w:val="32"/>
          <w:lang w:val="en-US" w:eastAsia="zh-CN"/>
        </w:rPr>
        <w:t xml:space="preserve">   </w:t>
      </w:r>
    </w:p>
    <w:p>
      <w:pPr>
        <w:spacing w:line="600" w:lineRule="exact"/>
        <w:ind w:firstLine="643" w:firstLineChars="200"/>
        <w:rPr>
          <w:rFonts w:hint="eastAsia" w:ascii="宋体" w:hAnsi="宋体" w:eastAsia="宋体" w:cs="宋体"/>
          <w:i w:val="0"/>
          <w:caps w:val="0"/>
          <w:color w:val="595959"/>
          <w:spacing w:val="0"/>
          <w:sz w:val="24"/>
          <w:szCs w:val="24"/>
        </w:rPr>
      </w:pPr>
      <w:r>
        <w:rPr>
          <w:rFonts w:hint="eastAsia" w:ascii="仿宋_GB2312" w:hAnsi="仿宋_GB2312" w:eastAsia="仿宋_GB2312" w:cs="仿宋_GB2312"/>
          <w:b/>
          <w:bCs/>
          <w:i w:val="0"/>
          <w:caps w:val="0"/>
          <w:color w:val="595959"/>
          <w:spacing w:val="0"/>
          <w:kern w:val="0"/>
          <w:sz w:val="32"/>
          <w:szCs w:val="32"/>
          <w:shd w:val="clear" w:fill="FFFFFF"/>
          <w:lang w:val="en-US" w:eastAsia="zh-CN" w:bidi="ar-SA"/>
        </w:rPr>
        <w:t>10.住房保障支出（类）住房改革支出（款）住房公积金（项）：</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支出决算为</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75.30</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万元，完成预算100%。</w:t>
      </w:r>
      <w:r>
        <w:rPr>
          <w:rFonts w:hint="eastAsia" w:ascii="仿宋_GB2312" w:hAnsi="仿宋_GB2312" w:eastAsia="仿宋_GB2312" w:cs="仿宋_GB2312"/>
          <w:i w:val="0"/>
          <w:caps w:val="0"/>
          <w:color w:val="595959"/>
          <w:spacing w:val="0"/>
          <w:sz w:val="32"/>
          <w:szCs w:val="32"/>
          <w:shd w:val="clear" w:fill="FFFFFF"/>
        </w:rPr>
        <w:t> </w:t>
      </w:r>
    </w:p>
    <w:p>
      <w:pPr>
        <w:spacing w:line="600" w:lineRule="exact"/>
        <w:ind w:firstLine="643" w:firstLineChars="200"/>
        <w:rPr>
          <w:rFonts w:hint="eastAsia" w:ascii="仿宋_GB2312" w:hAnsi="仿宋_GB2312" w:eastAsia="仿宋_GB2312" w:cs="仿宋_GB2312"/>
          <w:i w:val="0"/>
          <w:caps w:val="0"/>
          <w:color w:val="595959"/>
          <w:spacing w:val="0"/>
          <w:sz w:val="32"/>
          <w:szCs w:val="32"/>
          <w:shd w:val="clear" w:fill="FFFFFF"/>
        </w:rPr>
      </w:pPr>
      <w:r>
        <w:rPr>
          <w:rFonts w:hint="eastAsia" w:ascii="仿宋_GB2312" w:hAnsi="仿宋_GB2312" w:eastAsia="仿宋_GB2312" w:cs="仿宋_GB2312"/>
          <w:b/>
          <w:bCs/>
          <w:i w:val="0"/>
          <w:caps w:val="0"/>
          <w:color w:val="595959"/>
          <w:spacing w:val="0"/>
          <w:kern w:val="0"/>
          <w:sz w:val="32"/>
          <w:szCs w:val="32"/>
          <w:shd w:val="clear" w:fill="FFFFFF"/>
          <w:lang w:val="en-US" w:eastAsia="zh-CN" w:bidi="ar-SA"/>
        </w:rPr>
        <w:t>11．住房保障支出（类）住房改革支出（款）购房补贴（项）：</w:t>
      </w:r>
      <w:r>
        <w:rPr>
          <w:rFonts w:hint="eastAsia" w:ascii="仿宋_GB2312" w:hAnsi="仿宋_GB2312" w:eastAsia="仿宋_GB2312" w:cs="仿宋_GB2312"/>
          <w:i w:val="0"/>
          <w:caps w:val="0"/>
          <w:color w:val="595959"/>
          <w:spacing w:val="0"/>
          <w:sz w:val="32"/>
          <w:szCs w:val="32"/>
          <w:shd w:val="clear" w:fill="FFFFFF"/>
        </w:rPr>
        <w:t>支出决算数为</w:t>
      </w:r>
      <w:r>
        <w:rPr>
          <w:rFonts w:hint="eastAsia" w:ascii="仿宋_GB2312" w:hAnsi="仿宋_GB2312" w:eastAsia="仿宋_GB2312" w:cs="仿宋_GB2312"/>
          <w:i w:val="0"/>
          <w:caps w:val="0"/>
          <w:color w:val="595959"/>
          <w:spacing w:val="0"/>
          <w:sz w:val="32"/>
          <w:szCs w:val="32"/>
          <w:shd w:val="clear" w:fill="FFFFFF"/>
          <w:lang w:val="en-US" w:eastAsia="zh-CN"/>
        </w:rPr>
        <w:t>145.15</w:t>
      </w:r>
      <w:r>
        <w:rPr>
          <w:rFonts w:hint="eastAsia" w:ascii="仿宋_GB2312" w:hAnsi="仿宋_GB2312" w:eastAsia="仿宋_GB2312" w:cs="仿宋_GB2312"/>
          <w:i w:val="0"/>
          <w:caps w:val="0"/>
          <w:color w:val="595959"/>
          <w:spacing w:val="0"/>
          <w:sz w:val="32"/>
          <w:szCs w:val="32"/>
          <w:shd w:val="clear" w:fill="FFFFFF"/>
        </w:rPr>
        <w:t>万元，完成预算99.</w:t>
      </w:r>
      <w:r>
        <w:rPr>
          <w:rFonts w:hint="eastAsia" w:ascii="仿宋_GB2312" w:hAnsi="仿宋_GB2312" w:eastAsia="仿宋_GB2312" w:cs="仿宋_GB2312"/>
          <w:i w:val="0"/>
          <w:caps w:val="0"/>
          <w:color w:val="595959"/>
          <w:spacing w:val="0"/>
          <w:sz w:val="32"/>
          <w:szCs w:val="32"/>
          <w:shd w:val="clear" w:fill="FFFFFF"/>
          <w:lang w:val="en-US" w:eastAsia="zh-CN"/>
        </w:rPr>
        <w:t>6</w:t>
      </w:r>
      <w:r>
        <w:rPr>
          <w:rFonts w:hint="eastAsia" w:ascii="仿宋_GB2312" w:hAnsi="仿宋_GB2312" w:eastAsia="仿宋_GB2312" w:cs="仿宋_GB2312"/>
          <w:i w:val="0"/>
          <w:caps w:val="0"/>
          <w:color w:val="595959"/>
          <w:spacing w:val="0"/>
          <w:sz w:val="32"/>
          <w:szCs w:val="32"/>
          <w:shd w:val="clear" w:fill="FFFFFF"/>
        </w:rPr>
        <w:t>2%。</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1-1表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08表</w:t>
      </w:r>
      <w:r>
        <w:rPr>
          <w:rFonts w:hint="eastAsia" w:ascii="仿宋" w:hAnsi="仿宋" w:eastAsia="仿宋"/>
          <w:b/>
          <w:color w:val="auto"/>
          <w:sz w:val="32"/>
          <w:szCs w:val="32"/>
          <w:highlight w:val="none"/>
        </w:rPr>
        <w:t>，罗列全部功能分类科目至项级。上述“预算”口径为调整预算数。增减变动原因为决算数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和调整预算数</w:t>
      </w:r>
      <w:r>
        <w:rPr>
          <w:rFonts w:ascii="仿宋" w:hAnsi="仿宋" w:eastAsia="仿宋"/>
          <w:b/>
          <w:color w:val="auto"/>
          <w:sz w:val="32"/>
          <w:szCs w:val="32"/>
          <w:highlight w:val="none"/>
        </w:rPr>
        <w:t>&lt;</w:t>
      </w:r>
      <w:r>
        <w:rPr>
          <w:rFonts w:hint="eastAsia" w:ascii="仿宋" w:hAnsi="仿宋" w:eastAsia="仿宋"/>
          <w:b/>
          <w:color w:val="auto"/>
          <w:sz w:val="32"/>
          <w:szCs w:val="32"/>
          <w:highlight w:val="none"/>
        </w:rPr>
        <w:t>项级</w:t>
      </w:r>
      <w:r>
        <w:rPr>
          <w:rFonts w:ascii="仿宋" w:hAnsi="仿宋" w:eastAsia="仿宋"/>
          <w:b/>
          <w:color w:val="auto"/>
          <w:sz w:val="32"/>
          <w:szCs w:val="32"/>
          <w:highlight w:val="none"/>
        </w:rPr>
        <w:t>&gt;</w:t>
      </w:r>
      <w:r>
        <w:rPr>
          <w:rFonts w:hint="eastAsia" w:ascii="仿宋" w:hAnsi="仿宋" w:eastAsia="仿宋"/>
          <w:b/>
          <w:color w:val="auto"/>
          <w:sz w:val="32"/>
          <w:szCs w:val="32"/>
          <w:highlight w:val="none"/>
        </w:rPr>
        <w:t>比较，与预算数持平可以不写原因。）</w:t>
      </w:r>
    </w:p>
    <w:p>
      <w:pPr>
        <w:tabs>
          <w:tab w:val="right" w:pos="8306"/>
        </w:tabs>
        <w:spacing w:line="600" w:lineRule="exact"/>
        <w:ind w:firstLine="640"/>
        <w:outlineLvl w:val="1"/>
        <w:rPr>
          <w:rStyle w:val="26"/>
          <w:color w:val="auto"/>
        </w:rPr>
      </w:pPr>
      <w:bookmarkStart w:id="34" w:name="_Toc15396608"/>
      <w:bookmarkStart w:id="35" w:name="_Toc15377214"/>
      <w:r>
        <w:rPr>
          <w:rFonts w:hint="eastAsia" w:ascii="黑体" w:eastAsia="黑体"/>
          <w:color w:val="auto"/>
          <w:sz w:val="32"/>
          <w:szCs w:val="32"/>
        </w:rPr>
        <w:t>六</w:t>
      </w:r>
      <w:r>
        <w:rPr>
          <w:rFonts w:hint="eastAsia" w:ascii="黑体" w:eastAsia="黑体"/>
          <w:b/>
          <w:color w:val="auto"/>
          <w:sz w:val="32"/>
          <w:szCs w:val="32"/>
        </w:rPr>
        <w:t>、</w:t>
      </w:r>
      <w:r>
        <w:rPr>
          <w:rFonts w:hint="eastAsia" w:ascii="黑体" w:hAnsi="黑体" w:eastAsia="黑体"/>
          <w:b/>
          <w:color w:val="auto"/>
          <w:sz w:val="32"/>
          <w:szCs w:val="32"/>
        </w:rPr>
        <w:t>一</w:t>
      </w:r>
      <w:r>
        <w:rPr>
          <w:rStyle w:val="26"/>
          <w:rFonts w:hint="eastAsia" w:ascii="黑体" w:hAnsi="黑体" w:eastAsia="黑体"/>
          <w:b w:val="0"/>
          <w:color w:val="auto"/>
        </w:rPr>
        <w:t>般公共预算财政拨款基本支出决算情况说明</w:t>
      </w:r>
      <w:bookmarkEnd w:id="34"/>
      <w:bookmarkEnd w:id="35"/>
      <w:r>
        <w:rPr>
          <w:rStyle w:val="26"/>
          <w:rFonts w:ascii="黑体" w:hAnsi="黑体" w:eastAsia="黑体"/>
          <w:b w:val="0"/>
          <w:color w:val="auto"/>
        </w:rPr>
        <w:tab/>
      </w:r>
    </w:p>
    <w:p>
      <w:pPr>
        <w:spacing w:line="600" w:lineRule="exact"/>
        <w:ind w:firstLine="645"/>
        <w:rPr>
          <w:rFonts w:ascii="仿宋" w:hAnsi="仿宋" w:eastAsia="仿宋"/>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年一般公共预算财政拨款基本支出</w:t>
      </w:r>
      <w:r>
        <w:rPr>
          <w:rFonts w:hint="eastAsia" w:ascii="仿宋" w:hAnsi="仿宋" w:eastAsia="仿宋"/>
          <w:color w:val="auto"/>
          <w:sz w:val="32"/>
          <w:szCs w:val="32"/>
          <w:lang w:val="en-US" w:eastAsia="zh-CN"/>
        </w:rPr>
        <w:t>1430.53</w:t>
      </w:r>
      <w:r>
        <w:rPr>
          <w:rFonts w:hint="eastAsia" w:ascii="仿宋" w:hAnsi="仿宋" w:eastAsia="仿宋"/>
          <w:color w:val="auto"/>
          <w:sz w:val="32"/>
          <w:szCs w:val="32"/>
        </w:rPr>
        <w:t>万元，其中：</w:t>
      </w:r>
    </w:p>
    <w:p>
      <w:pPr>
        <w:spacing w:line="600" w:lineRule="exact"/>
        <w:ind w:firstLine="645"/>
        <w:rPr>
          <w:rFonts w:ascii="仿宋" w:hAnsi="仿宋" w:eastAsia="仿宋"/>
          <w:color w:val="auto"/>
          <w:sz w:val="32"/>
          <w:szCs w:val="32"/>
        </w:rPr>
      </w:pPr>
      <w:r>
        <w:rPr>
          <w:rFonts w:hint="eastAsia" w:ascii="仿宋" w:hAnsi="仿宋" w:eastAsia="仿宋"/>
          <w:color w:val="auto"/>
          <w:sz w:val="32"/>
          <w:szCs w:val="32"/>
        </w:rPr>
        <w:t>人员经费</w:t>
      </w:r>
      <w:r>
        <w:rPr>
          <w:rFonts w:hint="eastAsia" w:ascii="仿宋" w:hAnsi="仿宋" w:eastAsia="仿宋"/>
          <w:color w:val="auto"/>
          <w:sz w:val="32"/>
          <w:szCs w:val="32"/>
          <w:lang w:val="en-US" w:eastAsia="zh-CN"/>
        </w:rPr>
        <w:t>976.71</w:t>
      </w:r>
      <w:r>
        <w:rPr>
          <w:rFonts w:hint="eastAsia" w:ascii="仿宋" w:hAnsi="仿宋" w:eastAsia="仿宋"/>
          <w:color w:val="auto"/>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auto"/>
          <w:sz w:val="32"/>
          <w:szCs w:val="32"/>
        </w:rPr>
        <w:br w:type="textWrapping"/>
      </w:r>
      <w:r>
        <w:rPr>
          <w:rFonts w:hint="eastAsia" w:ascii="仿宋" w:hAnsi="仿宋" w:eastAsia="仿宋"/>
          <w:color w:val="auto"/>
          <w:sz w:val="32"/>
          <w:szCs w:val="32"/>
        </w:rPr>
        <w:t>　　公用经费</w:t>
      </w:r>
      <w:r>
        <w:rPr>
          <w:rFonts w:hint="eastAsia" w:ascii="仿宋" w:hAnsi="仿宋" w:eastAsia="仿宋"/>
          <w:color w:val="auto"/>
          <w:sz w:val="32"/>
          <w:szCs w:val="32"/>
          <w:lang w:val="en-US" w:eastAsia="zh-CN"/>
        </w:rPr>
        <w:t>453.82</w:t>
      </w:r>
      <w:r>
        <w:rPr>
          <w:rFonts w:hint="eastAsia" w:ascii="仿宋" w:hAnsi="仿宋" w:eastAsia="仿宋"/>
          <w:color w:val="auto"/>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5"/>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（注：数据来源于财决</w:t>
      </w:r>
      <w:r>
        <w:rPr>
          <w:rFonts w:ascii="仿宋" w:hAnsi="仿宋" w:eastAsia="仿宋"/>
          <w:b/>
          <w:color w:val="auto"/>
          <w:sz w:val="32"/>
          <w:szCs w:val="32"/>
          <w:highlight w:val="none"/>
        </w:rPr>
        <w:t>0</w:t>
      </w:r>
      <w:r>
        <w:rPr>
          <w:rFonts w:hint="eastAsia" w:ascii="仿宋" w:hAnsi="仿宋" w:eastAsia="仿宋"/>
          <w:b/>
          <w:color w:val="auto"/>
          <w:sz w:val="32"/>
          <w:szCs w:val="32"/>
          <w:highlight w:val="none"/>
        </w:rPr>
        <w:t>7表</w:t>
      </w:r>
      <w:r>
        <w:rPr>
          <w:rFonts w:hint="eastAsia" w:ascii="仿宋" w:hAnsi="仿宋" w:eastAsia="仿宋"/>
          <w:b/>
          <w:color w:val="auto"/>
          <w:sz w:val="32"/>
          <w:szCs w:val="32"/>
          <w:highlight w:val="none"/>
          <w:lang w:eastAsia="zh-CN"/>
        </w:rPr>
        <w:t>和财决</w:t>
      </w:r>
      <w:r>
        <w:rPr>
          <w:rFonts w:hint="eastAsia" w:ascii="仿宋" w:hAnsi="仿宋" w:eastAsia="仿宋"/>
          <w:b/>
          <w:color w:val="auto"/>
          <w:sz w:val="32"/>
          <w:szCs w:val="32"/>
          <w:highlight w:val="none"/>
          <w:lang w:val="en-US" w:eastAsia="zh-CN"/>
        </w:rPr>
        <w:t>08-1表</w:t>
      </w:r>
      <w:r>
        <w:rPr>
          <w:rFonts w:hint="eastAsia" w:ascii="仿宋" w:hAnsi="仿宋" w:eastAsia="仿宋"/>
          <w:b/>
          <w:color w:val="auto"/>
          <w:sz w:val="32"/>
          <w:szCs w:val="32"/>
          <w:highlight w:val="none"/>
        </w:rPr>
        <w:t>，根据本部门实际支出情况罗列全部经济分类科目。）</w:t>
      </w:r>
    </w:p>
    <w:p>
      <w:pPr>
        <w:spacing w:line="600" w:lineRule="exact"/>
        <w:ind w:firstLine="640"/>
        <w:rPr>
          <w:rFonts w:ascii="仿宋" w:hAnsi="仿宋" w:eastAsia="仿宋"/>
          <w:b/>
          <w:color w:val="auto"/>
          <w:sz w:val="32"/>
          <w:szCs w:val="32"/>
        </w:rPr>
      </w:pPr>
    </w:p>
    <w:p>
      <w:pPr>
        <w:spacing w:line="600" w:lineRule="exact"/>
        <w:ind w:firstLine="640"/>
        <w:outlineLvl w:val="1"/>
        <w:rPr>
          <w:rStyle w:val="26"/>
          <w:rFonts w:ascii="黑体" w:hAnsi="黑体" w:eastAsia="黑体"/>
          <w:b w:val="0"/>
          <w:color w:val="auto"/>
        </w:rPr>
      </w:pPr>
      <w:bookmarkStart w:id="36" w:name="_Toc15377215"/>
      <w:bookmarkStart w:id="37" w:name="_Toc15396609"/>
      <w:r>
        <w:rPr>
          <w:rFonts w:hint="eastAsia" w:ascii="黑体" w:eastAsia="黑体"/>
          <w:color w:val="auto"/>
          <w:sz w:val="32"/>
          <w:szCs w:val="32"/>
        </w:rPr>
        <w:t>七、</w:t>
      </w:r>
      <w:r>
        <w:rPr>
          <w:rStyle w:val="26"/>
          <w:rFonts w:hint="eastAsia" w:ascii="黑体" w:hAnsi="黑体" w:eastAsia="黑体"/>
          <w:color w:val="auto"/>
        </w:rPr>
        <w:t>“</w:t>
      </w:r>
      <w:r>
        <w:rPr>
          <w:rStyle w:val="26"/>
          <w:rFonts w:hint="eastAsia" w:ascii="黑体" w:hAnsi="黑体" w:eastAsia="黑体"/>
          <w:b w:val="0"/>
          <w:color w:val="auto"/>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rPr>
      </w:pPr>
      <w:bookmarkStart w:id="38" w:name="_Toc15377216"/>
      <w:r>
        <w:rPr>
          <w:rFonts w:hint="eastAsia" w:ascii="仿宋" w:hAnsi="仿宋" w:eastAsia="仿宋"/>
          <w:b/>
          <w:color w:val="auto"/>
          <w:sz w:val="32"/>
          <w:szCs w:val="32"/>
        </w:rPr>
        <w:t>（一）“三公”经费财政拨款支出决算总体情况说明</w:t>
      </w:r>
      <w:bookmarkEnd w:id="38"/>
    </w:p>
    <w:p>
      <w:pPr>
        <w:spacing w:line="600" w:lineRule="exact"/>
        <w:ind w:firstLine="640"/>
        <w:rPr>
          <w:rFonts w:hint="eastAsia" w:ascii="仿宋_GB2312" w:hAnsi="仿宋_GB2312" w:eastAsia="仿宋_GB2312" w:cs="仿宋_GB2312"/>
          <w:color w:val="auto"/>
          <w:sz w:val="32"/>
          <w:szCs w:val="32"/>
        </w:rPr>
      </w:pP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年“三公”经费财政拨款支出决算为</w:t>
      </w:r>
      <w:r>
        <w:rPr>
          <w:rFonts w:hint="eastAsia" w:ascii="仿宋" w:hAnsi="仿宋" w:eastAsia="仿宋"/>
          <w:color w:val="auto"/>
          <w:sz w:val="32"/>
          <w:szCs w:val="32"/>
          <w:lang w:val="en-US" w:eastAsia="zh-CN"/>
        </w:rPr>
        <w:t>44.18</w:t>
      </w:r>
      <w:r>
        <w:rPr>
          <w:rFonts w:hint="eastAsia" w:ascii="仿宋" w:hAnsi="仿宋" w:eastAsia="仿宋"/>
          <w:color w:val="auto"/>
          <w:sz w:val="32"/>
          <w:szCs w:val="32"/>
        </w:rPr>
        <w:t>万元，完成预算</w:t>
      </w:r>
      <w:r>
        <w:rPr>
          <w:rFonts w:hint="eastAsia" w:ascii="仿宋" w:hAnsi="仿宋" w:eastAsia="仿宋"/>
          <w:color w:val="auto"/>
          <w:sz w:val="32"/>
          <w:szCs w:val="32"/>
          <w:lang w:val="en-US" w:eastAsia="zh-CN"/>
        </w:rPr>
        <w:t>57.53</w:t>
      </w:r>
      <w:r>
        <w:rPr>
          <w:rFonts w:ascii="仿宋" w:hAnsi="仿宋" w:eastAsia="仿宋"/>
          <w:color w:val="auto"/>
          <w:sz w:val="32"/>
          <w:szCs w:val="32"/>
        </w:rPr>
        <w:t>%</w:t>
      </w:r>
      <w:r>
        <w:rPr>
          <w:rFonts w:hint="eastAsia" w:ascii="仿宋" w:hAnsi="仿宋" w:eastAsia="仿宋"/>
          <w:color w:val="auto"/>
          <w:sz w:val="32"/>
          <w:szCs w:val="32"/>
        </w:rPr>
        <w:t>，决算数小于预算数的主要原因</w:t>
      </w:r>
      <w:r>
        <w:rPr>
          <w:rFonts w:hint="eastAsia" w:ascii="仿宋" w:hAnsi="仿宋" w:eastAsia="仿宋"/>
          <w:color w:val="auto"/>
          <w:sz w:val="32"/>
          <w:szCs w:val="32"/>
          <w:lang w:eastAsia="zh-CN"/>
        </w:rPr>
        <w:t>：一是</w:t>
      </w:r>
      <w:r>
        <w:rPr>
          <w:rFonts w:hint="eastAsia" w:ascii="仿宋_GB2312" w:hAnsi="仿宋_GB2312" w:eastAsia="仿宋_GB2312" w:cs="仿宋_GB2312"/>
          <w:sz w:val="32"/>
          <w:szCs w:val="32"/>
        </w:rPr>
        <w:t>疫情影响，同时落实政府过紧日子要求，</w:t>
      </w:r>
      <w:r>
        <w:rPr>
          <w:rFonts w:hint="eastAsia" w:ascii="仿宋_GB2312" w:hAnsi="仿宋_GB2312" w:eastAsia="仿宋_GB2312" w:cs="仿宋_GB2312"/>
          <w:sz w:val="32"/>
          <w:szCs w:val="32"/>
          <w:lang w:eastAsia="zh-CN"/>
        </w:rPr>
        <w:t>严格落实中央八项规定精神，厉行节约，减少公务接待、差旅费等支出；</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i w:val="0"/>
          <w:caps w:val="0"/>
          <w:color w:val="090909"/>
          <w:spacing w:val="0"/>
          <w:sz w:val="32"/>
          <w:szCs w:val="32"/>
          <w:shd w:val="clear" w:fill="FFFFFF"/>
        </w:rPr>
        <w:t>未使用完经费财政收回。</w:t>
      </w:r>
    </w:p>
    <w:p>
      <w:pPr>
        <w:spacing w:line="600" w:lineRule="exact"/>
        <w:ind w:firstLine="640"/>
        <w:rPr>
          <w:rFonts w:ascii="仿宋" w:hAnsi="仿宋" w:eastAsia="仿宋"/>
          <w:b/>
          <w:color w:val="auto"/>
          <w:sz w:val="32"/>
          <w:szCs w:val="32"/>
        </w:rPr>
      </w:pPr>
      <w:r>
        <w:rPr>
          <w:rFonts w:hint="eastAsia" w:ascii="仿宋" w:hAnsi="仿宋" w:eastAsia="仿宋"/>
          <w:b/>
          <w:color w:val="auto"/>
          <w:sz w:val="32"/>
          <w:szCs w:val="32"/>
        </w:rPr>
        <w:t>（注：上述“预算”口径为调整预算数，包括</w:t>
      </w:r>
      <w:r>
        <w:rPr>
          <w:rFonts w:hint="eastAsia" w:ascii="仿宋" w:hAnsi="仿宋" w:eastAsia="仿宋"/>
          <w:b/>
          <w:color w:val="auto"/>
          <w:sz w:val="32"/>
          <w:szCs w:val="32"/>
          <w:lang w:eastAsia="zh-CN"/>
        </w:rPr>
        <w:t>一般公共预算和</w:t>
      </w:r>
      <w:r>
        <w:rPr>
          <w:rFonts w:hint="eastAsia" w:ascii="仿宋" w:hAnsi="仿宋" w:eastAsia="仿宋"/>
          <w:b/>
          <w:color w:val="auto"/>
          <w:sz w:val="32"/>
          <w:szCs w:val="32"/>
        </w:rPr>
        <w:t>政府性基金</w:t>
      </w:r>
      <w:r>
        <w:rPr>
          <w:rFonts w:hint="eastAsia" w:ascii="仿宋" w:hAnsi="仿宋" w:eastAsia="仿宋"/>
          <w:b/>
          <w:color w:val="auto"/>
          <w:sz w:val="32"/>
          <w:szCs w:val="32"/>
          <w:lang w:eastAsia="zh-CN"/>
        </w:rPr>
        <w:t>预算财政拨款</w:t>
      </w:r>
      <w:r>
        <w:rPr>
          <w:rFonts w:hint="eastAsia" w:ascii="仿宋" w:hAnsi="仿宋" w:eastAsia="仿宋"/>
          <w:b/>
          <w:color w:val="auto"/>
          <w:sz w:val="32"/>
          <w:szCs w:val="32"/>
        </w:rPr>
        <w:t>支出决算情况。）</w:t>
      </w:r>
    </w:p>
    <w:p>
      <w:pPr>
        <w:spacing w:line="600" w:lineRule="exact"/>
        <w:ind w:firstLine="640"/>
        <w:outlineLvl w:val="2"/>
        <w:rPr>
          <w:rFonts w:ascii="仿宋" w:hAnsi="仿宋" w:eastAsia="仿宋"/>
          <w:b/>
          <w:color w:val="auto"/>
          <w:sz w:val="32"/>
          <w:szCs w:val="32"/>
        </w:rPr>
      </w:pPr>
      <w:bookmarkStart w:id="39" w:name="_Toc15377217"/>
      <w:r>
        <w:rPr>
          <w:rFonts w:hint="eastAsia" w:ascii="仿宋" w:hAnsi="仿宋" w:eastAsia="仿宋"/>
          <w:b/>
          <w:color w:val="auto"/>
          <w:sz w:val="32"/>
          <w:szCs w:val="32"/>
        </w:rPr>
        <w:t>（二）“三公”经费财政拨款支出决算具体情况说明</w:t>
      </w:r>
      <w:bookmarkEnd w:id="39"/>
    </w:p>
    <w:p>
      <w:pPr>
        <w:pStyle w:val="2"/>
        <w:rPr>
          <w:rFonts w:hint="eastAsia" w:ascii="仿宋" w:hAnsi="仿宋" w:eastAsia="仿宋"/>
          <w:color w:val="auto"/>
          <w:sz w:val="32"/>
          <w:szCs w:val="32"/>
        </w:rPr>
      </w:pPr>
      <w:r>
        <w:rPr>
          <w:rFonts w:hint="eastAsia" w:ascii="仿宋" w:hAnsi="仿宋" w:eastAsia="仿宋"/>
          <w:color w:val="auto"/>
          <w:sz w:val="32"/>
          <w:szCs w:val="32"/>
          <w:lang w:val="en-US" w:eastAsia="zh-CN"/>
        </w:rPr>
        <w:t xml:space="preserve">    </w:t>
      </w:r>
      <w:r>
        <w:rPr>
          <w:rFonts w:ascii="仿宋" w:hAnsi="仿宋" w:eastAsia="仿宋"/>
          <w:color w:val="auto"/>
          <w:sz w:val="32"/>
          <w:szCs w:val="32"/>
        </w:rPr>
        <w:t>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年“三公”经费财政拨款支出决算中，因公出国（境）费支出决算</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0</w:t>
      </w:r>
      <w:r>
        <w:rPr>
          <w:rFonts w:ascii="仿宋" w:hAnsi="仿宋" w:eastAsia="仿宋"/>
          <w:color w:val="auto"/>
          <w:sz w:val="32"/>
          <w:szCs w:val="32"/>
        </w:rPr>
        <w:t>%</w:t>
      </w:r>
      <w:r>
        <w:rPr>
          <w:rFonts w:hint="eastAsia" w:ascii="仿宋" w:hAnsi="仿宋" w:eastAsia="仿宋"/>
          <w:color w:val="auto"/>
          <w:sz w:val="32"/>
          <w:szCs w:val="32"/>
        </w:rPr>
        <w:t>；公务用车购置及运行维护费支出决算</w:t>
      </w:r>
      <w:r>
        <w:rPr>
          <w:rFonts w:hint="eastAsia" w:ascii="仿宋" w:hAnsi="仿宋" w:eastAsia="仿宋"/>
          <w:color w:val="auto"/>
          <w:sz w:val="32"/>
          <w:szCs w:val="32"/>
          <w:lang w:val="en-US" w:eastAsia="zh-CN"/>
        </w:rPr>
        <w:t>43.68</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98.87</w:t>
      </w:r>
      <w:r>
        <w:rPr>
          <w:rFonts w:ascii="仿宋" w:hAnsi="仿宋" w:eastAsia="仿宋"/>
          <w:color w:val="auto"/>
          <w:sz w:val="32"/>
          <w:szCs w:val="32"/>
        </w:rPr>
        <w:t>%</w:t>
      </w:r>
      <w:r>
        <w:rPr>
          <w:rFonts w:hint="eastAsia" w:ascii="仿宋" w:hAnsi="仿宋" w:eastAsia="仿宋"/>
          <w:color w:val="auto"/>
          <w:sz w:val="32"/>
          <w:szCs w:val="32"/>
        </w:rPr>
        <w:t>；公务接待费支出决算</w:t>
      </w:r>
      <w:r>
        <w:rPr>
          <w:rFonts w:hint="eastAsia" w:ascii="仿宋" w:hAnsi="仿宋" w:eastAsia="仿宋"/>
          <w:color w:val="auto"/>
          <w:sz w:val="32"/>
          <w:szCs w:val="32"/>
          <w:lang w:val="en-US" w:eastAsia="zh-CN"/>
        </w:rPr>
        <w:t>0.49</w:t>
      </w:r>
      <w:r>
        <w:rPr>
          <w:rFonts w:hint="eastAsia" w:ascii="仿宋" w:hAnsi="仿宋" w:eastAsia="仿宋"/>
          <w:color w:val="auto"/>
          <w:sz w:val="32"/>
          <w:szCs w:val="32"/>
        </w:rPr>
        <w:t>万元，占</w:t>
      </w:r>
      <w:r>
        <w:rPr>
          <w:rFonts w:hint="eastAsia" w:ascii="仿宋" w:hAnsi="仿宋" w:eastAsia="仿宋"/>
          <w:color w:val="auto"/>
          <w:sz w:val="32"/>
          <w:szCs w:val="32"/>
          <w:lang w:val="en-US" w:eastAsia="zh-CN"/>
        </w:rPr>
        <w:t>1.13</w:t>
      </w:r>
      <w:r>
        <w:rPr>
          <w:rFonts w:ascii="仿宋" w:hAnsi="仿宋" w:eastAsia="仿宋"/>
          <w:color w:val="auto"/>
          <w:sz w:val="32"/>
          <w:szCs w:val="32"/>
        </w:rPr>
        <w:t>%</w:t>
      </w:r>
      <w:r>
        <w:rPr>
          <w:rFonts w:hint="eastAsia" w:ascii="仿宋" w:hAnsi="仿宋" w:eastAsia="仿宋"/>
          <w:color w:val="auto"/>
          <w:sz w:val="32"/>
          <w:szCs w:val="32"/>
        </w:rPr>
        <w:t>。具体情况如下：</w:t>
      </w:r>
      <w:r>
        <w:drawing>
          <wp:inline distT="0" distB="0" distL="114300" distR="114300">
            <wp:extent cx="3829685" cy="2362200"/>
            <wp:effectExtent l="4445" t="4445" r="1397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auto"/>
          <w:sz w:val="32"/>
          <w:szCs w:val="32"/>
        </w:rPr>
      </w:pPr>
      <w:r>
        <w:rPr>
          <w:rFonts w:hint="eastAsia" w:ascii="仿宋" w:hAnsi="仿宋" w:eastAsia="仿宋"/>
          <w:color w:val="auto"/>
          <w:sz w:val="32"/>
          <w:szCs w:val="32"/>
        </w:rPr>
        <w:t>（图7：“三公”经费财政拨款支出结构</w:t>
      </w:r>
      <w:r>
        <w:rPr>
          <w:rFonts w:hint="eastAsia" w:ascii="仿宋" w:hAnsi="仿宋" w:eastAsia="仿宋"/>
          <w:color w:val="auto"/>
          <w:sz w:val="32"/>
          <w:szCs w:val="32"/>
          <w:lang w:val="en-US" w:eastAsia="zh-CN"/>
        </w:rPr>
        <w:t xml:space="preserve"> 单位：万元</w:t>
      </w:r>
      <w:r>
        <w:rPr>
          <w:rFonts w:hint="eastAsia" w:ascii="仿宋" w:hAnsi="仿宋" w:eastAsia="仿宋"/>
          <w:color w:val="auto"/>
          <w:sz w:val="32"/>
          <w:szCs w:val="32"/>
        </w:rPr>
        <w:t>）</w:t>
      </w:r>
    </w:p>
    <w:p>
      <w:pPr>
        <w:numPr>
          <w:ilvl w:val="0"/>
          <w:numId w:val="4"/>
        </w:numPr>
        <w:spacing w:line="600" w:lineRule="exact"/>
        <w:ind w:firstLine="640"/>
        <w:rPr>
          <w:rFonts w:hint="eastAsia" w:ascii="仿宋_GB2312" w:eastAsia="仿宋_GB2312"/>
          <w:color w:val="auto"/>
          <w:sz w:val="32"/>
          <w:szCs w:val="32"/>
        </w:rPr>
      </w:pPr>
      <w:r>
        <w:rPr>
          <w:rFonts w:hint="eastAsia" w:ascii="仿宋_GB2312" w:eastAsia="仿宋_GB2312"/>
          <w:b/>
          <w:color w:val="auto"/>
          <w:sz w:val="32"/>
          <w:szCs w:val="32"/>
        </w:rPr>
        <w:t>因公出国（境）经费支出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全年安排因公出国（境）团组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次，出国（境）</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w:t>
      </w:r>
    </w:p>
    <w:p>
      <w:pPr>
        <w:spacing w:line="600" w:lineRule="exact"/>
        <w:ind w:firstLine="640"/>
        <w:rPr>
          <w:rFonts w:ascii="仿宋" w:hAnsi="仿宋" w:eastAsia="仿宋"/>
          <w:color w:val="auto"/>
          <w:sz w:val="32"/>
          <w:szCs w:val="32"/>
        </w:rPr>
      </w:pPr>
      <w:r>
        <w:rPr>
          <w:rFonts w:ascii="仿宋_GB2312" w:eastAsia="仿宋_GB2312"/>
          <w:b/>
          <w:color w:val="auto"/>
          <w:sz w:val="32"/>
          <w:szCs w:val="32"/>
        </w:rPr>
        <w:t>2.</w:t>
      </w:r>
      <w:r>
        <w:rPr>
          <w:rFonts w:hint="eastAsia" w:ascii="仿宋_GB2312" w:eastAsia="仿宋_GB2312"/>
          <w:b/>
          <w:color w:val="auto"/>
          <w:sz w:val="32"/>
          <w:szCs w:val="32"/>
        </w:rPr>
        <w:t>公务用车购置及运行维护费支出</w:t>
      </w:r>
      <w:r>
        <w:rPr>
          <w:rFonts w:hint="eastAsia" w:ascii="仿宋_GB2312" w:eastAsia="仿宋_GB2312"/>
          <w:color w:val="auto"/>
          <w:sz w:val="32"/>
          <w:szCs w:val="32"/>
          <w:lang w:val="en-US" w:eastAsia="zh-CN"/>
        </w:rPr>
        <w:t>43.68</w:t>
      </w:r>
      <w:r>
        <w:rPr>
          <w:rFonts w:hint="eastAsia" w:ascii="仿宋_GB2312" w:eastAsia="仿宋_GB2312"/>
          <w:color w:val="auto"/>
          <w:sz w:val="32"/>
          <w:szCs w:val="32"/>
        </w:rPr>
        <w:t>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公务用车购置及运行维护费支出决算比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7.13</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14.03</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hAnsi="仿宋_GB2312" w:eastAsia="仿宋_GB2312" w:cs="仿宋_GB2312"/>
          <w:sz w:val="32"/>
          <w:szCs w:val="32"/>
        </w:rPr>
        <w:t>疫情影响，</w:t>
      </w:r>
      <w:r>
        <w:rPr>
          <w:rFonts w:hint="eastAsia" w:ascii="仿宋_GB2312" w:hAnsi="仿宋_GB2312" w:eastAsia="仿宋_GB2312" w:cs="仿宋_GB2312"/>
          <w:sz w:val="32"/>
          <w:szCs w:val="32"/>
          <w:lang w:eastAsia="zh-CN"/>
        </w:rPr>
        <w:t>强化非现场执法监管，</w:t>
      </w:r>
      <w:r>
        <w:rPr>
          <w:rFonts w:hint="eastAsia" w:ascii="仿宋_GB2312" w:hAnsi="仿宋_GB2312" w:eastAsia="仿宋_GB2312" w:cs="仿宋_GB2312"/>
          <w:sz w:val="32"/>
          <w:szCs w:val="32"/>
        </w:rPr>
        <w:t>同时落实政府过紧日子要求，</w:t>
      </w:r>
      <w:r>
        <w:rPr>
          <w:rFonts w:hint="eastAsia" w:ascii="仿宋_GB2312" w:hAnsi="仿宋_GB2312" w:eastAsia="仿宋_GB2312" w:cs="仿宋_GB2312"/>
          <w:sz w:val="32"/>
          <w:szCs w:val="32"/>
          <w:lang w:eastAsia="zh-CN"/>
        </w:rPr>
        <w:t>减少公务支出</w:t>
      </w:r>
      <w:r>
        <w:rPr>
          <w:rFonts w:hint="eastAsia" w:ascii="仿宋" w:hAnsi="仿宋" w:eastAsia="仿宋"/>
          <w:color w:val="auto"/>
          <w:sz w:val="32"/>
          <w:szCs w:val="32"/>
        </w:rPr>
        <w:t>。</w:t>
      </w:r>
    </w:p>
    <w:p>
      <w:pPr>
        <w:spacing w:line="600" w:lineRule="exact"/>
        <w:ind w:firstLine="640" w:firstLineChars="200"/>
        <w:rPr>
          <w:rFonts w:ascii="仿宋_GB2312" w:eastAsia="仿宋_GB2312"/>
          <w:b/>
          <w:color w:val="auto"/>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万元。全年按规定更新公务用车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w:t>
      </w:r>
      <w:r>
        <w:rPr>
          <w:rFonts w:hint="eastAsia" w:ascii="仿宋_GB2312" w:eastAsia="仿宋_GB2312"/>
          <w:color w:val="auto"/>
          <w:sz w:val="32"/>
          <w:szCs w:val="32"/>
          <w:lang w:eastAsia="zh-CN"/>
        </w:rPr>
        <w:t>全部为省机关事务管理局调拨，</w:t>
      </w:r>
      <w:r>
        <w:rPr>
          <w:rFonts w:hint="eastAsia" w:ascii="仿宋_GB2312" w:eastAsia="仿宋_GB2312"/>
          <w:color w:val="auto"/>
          <w:sz w:val="32"/>
          <w:szCs w:val="32"/>
        </w:rPr>
        <w:t>其中：轿车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15.47</w:t>
      </w:r>
      <w:r>
        <w:rPr>
          <w:rFonts w:hint="eastAsia" w:ascii="仿宋_GB2312" w:eastAsia="仿宋_GB2312"/>
          <w:color w:val="auto"/>
          <w:sz w:val="32"/>
          <w:szCs w:val="32"/>
        </w:rPr>
        <w:t>万元，越野车</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辆、金额</w:t>
      </w:r>
      <w:r>
        <w:rPr>
          <w:rFonts w:hint="eastAsia" w:ascii="仿宋_GB2312" w:eastAsia="仿宋_GB2312"/>
          <w:color w:val="auto"/>
          <w:sz w:val="32"/>
          <w:szCs w:val="32"/>
          <w:lang w:val="en-US" w:eastAsia="zh-CN"/>
        </w:rPr>
        <w:t>41.93</w:t>
      </w:r>
      <w:r>
        <w:rPr>
          <w:rFonts w:hint="eastAsia" w:ascii="仿宋_GB2312" w:eastAsia="仿宋_GB2312"/>
          <w:color w:val="auto"/>
          <w:sz w:val="32"/>
          <w:szCs w:val="32"/>
        </w:rPr>
        <w:t>万元，主要用于</w:t>
      </w:r>
      <w:r>
        <w:rPr>
          <w:rFonts w:hint="eastAsia" w:ascii="仿宋_GB2312" w:eastAsia="仿宋_GB2312"/>
          <w:color w:val="auto"/>
          <w:sz w:val="32"/>
          <w:szCs w:val="32"/>
          <w:lang w:eastAsia="zh-CN"/>
        </w:rPr>
        <w:t>执法用车</w:t>
      </w: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月底，单位共有公务用车</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辆，其中：轿车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辆、越野车</w:t>
      </w:r>
      <w:r>
        <w:rPr>
          <w:rFonts w:hint="eastAsia" w:ascii="仿宋_GB2312" w:eastAsia="仿宋_GB2312"/>
          <w:color w:val="auto"/>
          <w:sz w:val="32"/>
          <w:szCs w:val="32"/>
          <w:lang w:val="en-US" w:eastAsia="zh-CN"/>
        </w:rPr>
        <w:t>10</w:t>
      </w:r>
      <w:r>
        <w:rPr>
          <w:rFonts w:hint="eastAsia" w:ascii="仿宋_GB2312" w:eastAsia="仿宋_GB2312"/>
          <w:color w:val="auto"/>
          <w:sz w:val="32"/>
          <w:szCs w:val="32"/>
        </w:rPr>
        <w:t>辆、载客汽车</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辆。</w:t>
      </w:r>
    </w:p>
    <w:p>
      <w:pPr>
        <w:spacing w:line="600" w:lineRule="exact"/>
        <w:ind w:firstLine="640"/>
        <w:rPr>
          <w:rFonts w:ascii="仿宋_GB2312" w:eastAsia="仿宋_GB2312"/>
          <w:color w:val="auto"/>
          <w:sz w:val="32"/>
          <w:szCs w:val="32"/>
        </w:rPr>
      </w:pPr>
      <w:r>
        <w:rPr>
          <w:rFonts w:hint="eastAsia" w:ascii="仿宋_GB2312" w:eastAsia="仿宋_GB2312"/>
          <w:b/>
          <w:color w:val="auto"/>
          <w:sz w:val="32"/>
          <w:szCs w:val="32"/>
        </w:rPr>
        <w:t>公务用车运行维护费支出</w:t>
      </w:r>
      <w:r>
        <w:rPr>
          <w:rFonts w:hint="eastAsia" w:ascii="仿宋_GB2312" w:eastAsia="仿宋_GB2312"/>
          <w:color w:val="auto"/>
          <w:sz w:val="32"/>
          <w:szCs w:val="32"/>
          <w:lang w:val="en-US" w:eastAsia="zh-CN"/>
        </w:rPr>
        <w:t>43.68</w:t>
      </w:r>
      <w:r>
        <w:rPr>
          <w:rFonts w:hint="eastAsia" w:ascii="仿宋_GB2312" w:eastAsia="仿宋_GB2312"/>
          <w:color w:val="auto"/>
          <w:sz w:val="32"/>
          <w:szCs w:val="32"/>
        </w:rPr>
        <w:t>万元。主要用</w:t>
      </w:r>
      <w:r>
        <w:rPr>
          <w:rFonts w:hint="eastAsia" w:ascii="仿宋_GB2312" w:eastAsia="仿宋_GB2312"/>
          <w:color w:val="auto"/>
          <w:sz w:val="32"/>
          <w:szCs w:val="32"/>
          <w:lang w:eastAsia="zh-CN"/>
        </w:rPr>
        <w:t>于</w:t>
      </w:r>
      <w:r>
        <w:rPr>
          <w:rFonts w:hint="eastAsia" w:ascii="Times New Roman" w:hAnsi="Times New Roman" w:eastAsia="仿宋_GB2312"/>
          <w:sz w:val="32"/>
          <w:szCs w:val="32"/>
        </w:rPr>
        <w:t>组织力量对</w:t>
      </w:r>
      <w:r>
        <w:rPr>
          <w:rFonts w:ascii="Times New Roman" w:hAnsi="Times New Roman" w:eastAsia="仿宋_GB2312"/>
          <w:sz w:val="32"/>
          <w:szCs w:val="32"/>
        </w:rPr>
        <w:t>医疗机构医废处置单位</w:t>
      </w:r>
      <w:r>
        <w:rPr>
          <w:rFonts w:hint="eastAsia" w:ascii="Times New Roman" w:hAnsi="Times New Roman" w:eastAsia="仿宋_GB2312"/>
          <w:sz w:val="32"/>
          <w:szCs w:val="32"/>
        </w:rPr>
        <w:t>检查</w:t>
      </w:r>
      <w:r>
        <w:rPr>
          <w:rFonts w:hint="eastAsia" w:eastAsia="仿宋_GB2312"/>
          <w:sz w:val="32"/>
          <w:szCs w:val="32"/>
          <w:lang w:eastAsia="zh-CN"/>
        </w:rPr>
        <w:t>及</w:t>
      </w:r>
      <w:r>
        <w:rPr>
          <w:rFonts w:ascii="Times New Roman" w:hAnsi="Times New Roman" w:eastAsia="仿宋_GB2312"/>
          <w:sz w:val="32"/>
          <w:szCs w:val="32"/>
        </w:rPr>
        <w:t>污水处理厂</w:t>
      </w:r>
      <w:r>
        <w:rPr>
          <w:rFonts w:hint="eastAsia" w:eastAsia="仿宋_GB2312"/>
          <w:sz w:val="32"/>
          <w:szCs w:val="32"/>
          <w:lang w:eastAsia="zh-CN"/>
        </w:rPr>
        <w:t>等重点排污单位的现场执法检查，</w:t>
      </w:r>
      <w:r>
        <w:rPr>
          <w:rFonts w:ascii="Times New Roman" w:hAnsi="Times New Roman" w:eastAsia="仿宋_GB2312"/>
          <w:sz w:val="32"/>
          <w:szCs w:val="32"/>
        </w:rPr>
        <w:t>2020年</w:t>
      </w:r>
      <w:r>
        <w:rPr>
          <w:rFonts w:ascii="Times New Roman" w:hAnsi="Times New Roman" w:eastAsia="仿宋_GB2312"/>
          <w:bCs/>
          <w:sz w:val="32"/>
          <w:szCs w:val="32"/>
        </w:rPr>
        <w:t>冬季大气</w:t>
      </w:r>
      <w:r>
        <w:rPr>
          <w:rFonts w:hint="eastAsia" w:ascii="Times New Roman" w:hAnsi="Times New Roman" w:eastAsia="仿宋_GB2312"/>
          <w:bCs/>
          <w:sz w:val="32"/>
          <w:szCs w:val="32"/>
        </w:rPr>
        <w:t>大气污染防治攻坚帮扶</w:t>
      </w:r>
      <w:r>
        <w:rPr>
          <w:rFonts w:hint="eastAsia" w:ascii="仿宋_GB2312" w:eastAsia="仿宋_GB2312"/>
          <w:color w:val="auto"/>
          <w:sz w:val="32"/>
          <w:szCs w:val="32"/>
        </w:rPr>
        <w:t>等所需的公务用车燃料费、维修费、过路过桥费、保险费等支出。</w:t>
      </w:r>
    </w:p>
    <w:p>
      <w:pPr>
        <w:spacing w:line="600" w:lineRule="exact"/>
        <w:ind w:firstLine="640"/>
        <w:rPr>
          <w:rFonts w:ascii="仿宋_GB2312" w:eastAsia="仿宋_GB2312"/>
          <w:color w:val="auto"/>
          <w:sz w:val="32"/>
          <w:szCs w:val="32"/>
        </w:rPr>
      </w:pPr>
      <w:r>
        <w:rPr>
          <w:rFonts w:ascii="仿宋_GB2312" w:eastAsia="仿宋_GB2312"/>
          <w:b/>
          <w:color w:val="auto"/>
          <w:sz w:val="32"/>
          <w:szCs w:val="32"/>
        </w:rPr>
        <w:t>3.</w:t>
      </w:r>
      <w:r>
        <w:rPr>
          <w:rFonts w:hint="eastAsia" w:ascii="仿宋_GB2312" w:eastAsia="仿宋_GB2312"/>
          <w:b/>
          <w:color w:val="auto"/>
          <w:sz w:val="32"/>
          <w:szCs w:val="32"/>
        </w:rPr>
        <w:t>公务接待费支出</w:t>
      </w:r>
      <w:r>
        <w:rPr>
          <w:rFonts w:hint="eastAsia" w:ascii="仿宋_GB2312" w:eastAsia="仿宋_GB2312"/>
          <w:color w:val="auto"/>
          <w:sz w:val="32"/>
          <w:szCs w:val="32"/>
          <w:lang w:val="en-US" w:eastAsia="zh-CN"/>
        </w:rPr>
        <w:t>0.49</w:t>
      </w:r>
      <w:r>
        <w:rPr>
          <w:rFonts w:hint="eastAsia" w:ascii="仿宋_GB2312" w:eastAsia="仿宋_GB2312"/>
          <w:color w:val="auto"/>
          <w:sz w:val="32"/>
          <w:szCs w:val="32"/>
        </w:rPr>
        <w:t>万元，</w:t>
      </w:r>
      <w:r>
        <w:rPr>
          <w:rStyle w:val="15"/>
          <w:rFonts w:hint="eastAsia" w:ascii="仿宋" w:hAnsi="仿宋" w:eastAsia="仿宋"/>
          <w:b w:val="0"/>
          <w:bCs/>
          <w:color w:val="auto"/>
          <w:sz w:val="32"/>
          <w:szCs w:val="32"/>
        </w:rPr>
        <w:t>完成预算</w:t>
      </w:r>
      <w:r>
        <w:rPr>
          <w:rStyle w:val="15"/>
          <w:rFonts w:hint="eastAsia" w:ascii="仿宋" w:hAnsi="仿宋" w:eastAsia="仿宋"/>
          <w:b w:val="0"/>
          <w:bCs/>
          <w:color w:val="auto"/>
          <w:sz w:val="32"/>
          <w:szCs w:val="32"/>
          <w:lang w:val="en-US" w:eastAsia="zh-CN"/>
        </w:rPr>
        <w:t>100</w:t>
      </w:r>
      <w:r>
        <w:rPr>
          <w:rStyle w:val="15"/>
          <w:rFonts w:ascii="仿宋" w:hAnsi="仿宋" w:eastAsia="仿宋"/>
          <w:b w:val="0"/>
          <w:bCs/>
          <w:color w:val="auto"/>
          <w:sz w:val="32"/>
          <w:szCs w:val="32"/>
        </w:rPr>
        <w:t>%</w:t>
      </w:r>
      <w:r>
        <w:rPr>
          <w:rStyle w:val="15"/>
          <w:rFonts w:hint="eastAsia" w:ascii="仿宋" w:hAnsi="仿宋" w:eastAsia="仿宋"/>
          <w:b w:val="0"/>
          <w:bCs/>
          <w:color w:val="auto"/>
          <w:sz w:val="32"/>
          <w:szCs w:val="32"/>
        </w:rPr>
        <w:t>。</w:t>
      </w:r>
      <w:r>
        <w:rPr>
          <w:rFonts w:hint="eastAsia" w:ascii="仿宋_GB2312" w:eastAsia="仿宋_GB2312"/>
          <w:color w:val="auto"/>
          <w:sz w:val="32"/>
          <w:szCs w:val="32"/>
        </w:rPr>
        <w:t>公务接待费支出决算比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0.46</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47.9</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hAnsi="仿宋_GB2312" w:eastAsia="仿宋_GB2312" w:cs="仿宋_GB2312"/>
          <w:sz w:val="32"/>
          <w:szCs w:val="32"/>
        </w:rPr>
        <w:t>落实政府过紧日子要求，</w:t>
      </w:r>
      <w:r>
        <w:rPr>
          <w:rFonts w:hint="eastAsia" w:ascii="仿宋_GB2312" w:hAnsi="仿宋_GB2312" w:eastAsia="仿宋_GB2312" w:cs="仿宋_GB2312"/>
          <w:sz w:val="32"/>
          <w:szCs w:val="32"/>
          <w:lang w:eastAsia="zh-CN"/>
        </w:rPr>
        <w:t>减少公务接待</w:t>
      </w:r>
      <w:r>
        <w:rPr>
          <w:rFonts w:hint="eastAsia" w:ascii="仿宋_GB2312" w:eastAsia="仿宋_GB2312"/>
          <w:color w:val="auto"/>
          <w:sz w:val="32"/>
          <w:szCs w:val="32"/>
        </w:rPr>
        <w:t>。其中：</w:t>
      </w:r>
    </w:p>
    <w:p>
      <w:pPr>
        <w:spacing w:line="600" w:lineRule="exact"/>
        <w:ind w:firstLine="640"/>
        <w:rPr>
          <w:rFonts w:ascii="仿宋_GB2312" w:eastAsia="仿宋_GB2312"/>
          <w:color w:val="FF0000"/>
          <w:sz w:val="32"/>
          <w:szCs w:val="32"/>
        </w:rPr>
      </w:pPr>
      <w:r>
        <w:rPr>
          <w:rFonts w:hint="eastAsia" w:ascii="仿宋" w:hAnsi="仿宋" w:eastAsia="仿宋"/>
          <w:b/>
          <w:color w:val="auto"/>
          <w:sz w:val="32"/>
          <w:szCs w:val="32"/>
        </w:rPr>
        <w:t>国内公务接待支出</w:t>
      </w:r>
      <w:r>
        <w:rPr>
          <w:rFonts w:hint="eastAsia" w:ascii="仿宋" w:hAnsi="仿宋" w:eastAsia="仿宋"/>
          <w:color w:val="auto"/>
          <w:sz w:val="32"/>
          <w:szCs w:val="32"/>
          <w:lang w:val="en-US" w:eastAsia="zh-CN"/>
        </w:rPr>
        <w:t>0.49</w:t>
      </w:r>
      <w:r>
        <w:rPr>
          <w:rFonts w:hint="eastAsia" w:ascii="仿宋_GB2312" w:eastAsia="仿宋_GB2312"/>
          <w:color w:val="auto"/>
          <w:sz w:val="32"/>
          <w:szCs w:val="32"/>
        </w:rPr>
        <w:t>万元，主要用于执行公务、开展业务活动开支的用餐费等。国内公务接待</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40</w:t>
      </w:r>
      <w:r>
        <w:rPr>
          <w:rFonts w:hint="eastAsia" w:ascii="仿宋_GB2312" w:eastAsia="仿宋_GB2312"/>
          <w:color w:val="auto"/>
          <w:sz w:val="32"/>
          <w:szCs w:val="32"/>
        </w:rPr>
        <w:t>人次（不包括陪同人员），共计支出</w:t>
      </w:r>
      <w:r>
        <w:rPr>
          <w:rFonts w:hint="eastAsia" w:ascii="仿宋_GB2312" w:eastAsia="仿宋_GB2312"/>
          <w:color w:val="auto"/>
          <w:sz w:val="32"/>
          <w:szCs w:val="32"/>
          <w:lang w:val="en-US" w:eastAsia="zh-CN"/>
        </w:rPr>
        <w:t>0.49</w:t>
      </w:r>
      <w:r>
        <w:rPr>
          <w:rFonts w:hint="eastAsia" w:ascii="仿宋_GB2312" w:eastAsia="仿宋_GB2312"/>
          <w:color w:val="auto"/>
          <w:sz w:val="32"/>
          <w:szCs w:val="32"/>
        </w:rPr>
        <w:t>万元，</w:t>
      </w:r>
      <w:r>
        <w:rPr>
          <w:rFonts w:hint="eastAsia" w:ascii="仿宋_GB2312" w:eastAsia="仿宋_GB2312"/>
          <w:color w:val="FF0000"/>
          <w:sz w:val="32"/>
          <w:szCs w:val="32"/>
        </w:rPr>
        <w:t>具体内容包括：①</w:t>
      </w:r>
      <w:r>
        <w:rPr>
          <w:rFonts w:hint="eastAsia" w:ascii="仿宋_GB2312" w:eastAsia="仿宋_GB2312"/>
          <w:color w:val="FF0000"/>
          <w:sz w:val="32"/>
          <w:szCs w:val="32"/>
          <w:lang w:eastAsia="zh-CN"/>
        </w:rPr>
        <w:t>接待遂宁市生态环境局和遂宁市生态环境保护综合行政执法支队一行</w:t>
      </w:r>
      <w:r>
        <w:rPr>
          <w:rFonts w:hint="eastAsia" w:ascii="仿宋_GB2312" w:eastAsia="仿宋_GB2312"/>
          <w:color w:val="FF0000"/>
          <w:sz w:val="32"/>
          <w:szCs w:val="32"/>
          <w:lang w:val="en-US" w:eastAsia="zh-CN"/>
        </w:rPr>
        <w:t>5人</w:t>
      </w:r>
      <w:r>
        <w:rPr>
          <w:rFonts w:hint="eastAsia" w:ascii="仿宋_GB2312" w:eastAsia="仿宋_GB2312"/>
          <w:color w:val="FF0000"/>
          <w:sz w:val="32"/>
          <w:szCs w:val="32"/>
          <w:lang w:eastAsia="zh-CN"/>
        </w:rPr>
        <w:t>到我队汇报综合行政执法改革情况，金额</w:t>
      </w:r>
      <w:r>
        <w:rPr>
          <w:rFonts w:hint="eastAsia" w:ascii="仿宋_GB2312" w:eastAsia="仿宋_GB2312"/>
          <w:color w:val="FF0000"/>
          <w:sz w:val="32"/>
          <w:szCs w:val="32"/>
          <w:lang w:val="en-US" w:eastAsia="zh-CN"/>
        </w:rPr>
        <w:t>423元；</w:t>
      </w:r>
      <w:r>
        <w:rPr>
          <w:rFonts w:hint="eastAsia" w:ascii="仿宋_GB2312" w:eastAsia="仿宋_GB2312"/>
          <w:color w:val="FF0000"/>
          <w:sz w:val="32"/>
          <w:szCs w:val="32"/>
        </w:rPr>
        <w:t>②</w:t>
      </w:r>
      <w:r>
        <w:rPr>
          <w:rFonts w:hint="eastAsia" w:ascii="仿宋_GB2312" w:eastAsia="仿宋_GB2312"/>
          <w:color w:val="FF0000"/>
          <w:sz w:val="32"/>
          <w:szCs w:val="32"/>
          <w:lang w:eastAsia="zh-CN"/>
        </w:rPr>
        <w:t>接待资阳市生态环境保护综合行政执法支队和内江市生态环境保护综合行政执法支队</w:t>
      </w:r>
      <w:r>
        <w:rPr>
          <w:rFonts w:hint="eastAsia" w:ascii="仿宋_GB2312" w:eastAsia="仿宋_GB2312"/>
          <w:color w:val="FF0000"/>
          <w:sz w:val="32"/>
          <w:szCs w:val="32"/>
          <w:lang w:val="en-US" w:eastAsia="zh-CN"/>
        </w:rPr>
        <w:t>15人</w:t>
      </w:r>
      <w:r>
        <w:rPr>
          <w:rFonts w:hint="eastAsia" w:ascii="仿宋_GB2312" w:eastAsia="仿宋_GB2312"/>
          <w:color w:val="FF0000"/>
          <w:sz w:val="32"/>
          <w:szCs w:val="32"/>
          <w:lang w:eastAsia="zh-CN"/>
        </w:rPr>
        <w:t>到我队汇报岗位能手和业务标兵创建工作，金额</w:t>
      </w:r>
      <w:r>
        <w:rPr>
          <w:rFonts w:hint="eastAsia" w:ascii="仿宋_GB2312" w:eastAsia="仿宋_GB2312"/>
          <w:color w:val="FF0000"/>
          <w:sz w:val="32"/>
          <w:szCs w:val="32"/>
          <w:lang w:val="en-US" w:eastAsia="zh-CN"/>
        </w:rPr>
        <w:t>1695元；</w:t>
      </w:r>
      <w:r>
        <w:rPr>
          <w:rFonts w:hint="eastAsia" w:ascii="仿宋_GB2312" w:eastAsia="仿宋_GB2312"/>
          <w:color w:val="FF0000"/>
          <w:sz w:val="32"/>
          <w:szCs w:val="32"/>
        </w:rPr>
        <w:t>③</w:t>
      </w:r>
      <w:r>
        <w:rPr>
          <w:rFonts w:hint="eastAsia" w:ascii="仿宋_GB2312" w:eastAsia="仿宋_GB2312"/>
          <w:color w:val="FF0000"/>
          <w:sz w:val="32"/>
          <w:szCs w:val="32"/>
          <w:lang w:eastAsia="zh-CN"/>
        </w:rPr>
        <w:t>接待德阳市生态环境保护综合行政执法支队</w:t>
      </w:r>
      <w:r>
        <w:rPr>
          <w:rFonts w:hint="eastAsia" w:ascii="仿宋_GB2312" w:eastAsia="仿宋_GB2312"/>
          <w:color w:val="FF0000"/>
          <w:sz w:val="32"/>
          <w:szCs w:val="32"/>
          <w:lang w:val="en-US" w:eastAsia="zh-CN"/>
        </w:rPr>
        <w:t>10人</w:t>
      </w:r>
      <w:r>
        <w:rPr>
          <w:rFonts w:hint="eastAsia" w:ascii="仿宋_GB2312" w:eastAsia="仿宋_GB2312"/>
          <w:color w:val="FF0000"/>
          <w:sz w:val="32"/>
          <w:szCs w:val="32"/>
          <w:lang w:eastAsia="zh-CN"/>
        </w:rPr>
        <w:t>到我队汇报岗位练兵有关工作，金额</w:t>
      </w:r>
      <w:r>
        <w:rPr>
          <w:rFonts w:hint="eastAsia" w:ascii="仿宋_GB2312" w:eastAsia="仿宋_GB2312"/>
          <w:color w:val="FF0000"/>
          <w:sz w:val="32"/>
          <w:szCs w:val="32"/>
          <w:lang w:val="en-US" w:eastAsia="zh-CN"/>
        </w:rPr>
        <w:t>1399元</w:t>
      </w:r>
      <w:r>
        <w:rPr>
          <w:rFonts w:hint="eastAsia" w:ascii="仿宋_GB2312" w:eastAsia="仿宋_GB2312"/>
          <w:color w:val="FF0000"/>
          <w:sz w:val="32"/>
          <w:szCs w:val="32"/>
          <w:lang w:eastAsia="zh-CN"/>
        </w:rPr>
        <w:t>；</w:t>
      </w:r>
      <w:r>
        <w:rPr>
          <w:rFonts w:hint="eastAsia" w:ascii="仿宋_GB2312" w:eastAsia="仿宋_GB2312"/>
          <w:color w:val="FF0000"/>
          <w:sz w:val="32"/>
          <w:szCs w:val="32"/>
        </w:rPr>
        <w:t>④</w:t>
      </w:r>
      <w:r>
        <w:rPr>
          <w:rFonts w:hint="eastAsia" w:ascii="仿宋_GB2312" w:eastAsia="仿宋_GB2312"/>
          <w:color w:val="FF0000"/>
          <w:sz w:val="32"/>
          <w:szCs w:val="32"/>
          <w:lang w:eastAsia="zh-CN"/>
        </w:rPr>
        <w:t>接待泸州市生态环境保护综合行政执法支队</w:t>
      </w:r>
      <w:r>
        <w:rPr>
          <w:rFonts w:hint="eastAsia" w:ascii="仿宋_GB2312" w:eastAsia="仿宋_GB2312"/>
          <w:color w:val="FF0000"/>
          <w:sz w:val="32"/>
          <w:szCs w:val="32"/>
          <w:lang w:val="en-US" w:eastAsia="zh-CN"/>
        </w:rPr>
        <w:t>10人</w:t>
      </w:r>
      <w:r>
        <w:rPr>
          <w:rFonts w:hint="eastAsia" w:ascii="仿宋_GB2312" w:eastAsia="仿宋_GB2312"/>
          <w:color w:val="FF0000"/>
          <w:sz w:val="32"/>
          <w:szCs w:val="32"/>
          <w:lang w:eastAsia="zh-CN"/>
        </w:rPr>
        <w:t>到我队汇报</w:t>
      </w:r>
      <w:r>
        <w:rPr>
          <w:rFonts w:hint="eastAsia" w:ascii="仿宋_GB2312" w:eastAsia="仿宋_GB2312"/>
          <w:color w:val="FF0000"/>
          <w:sz w:val="32"/>
          <w:szCs w:val="32"/>
          <w:lang w:val="en-US" w:eastAsia="zh-CN"/>
        </w:rPr>
        <w:t>2020年执法大练兵</w:t>
      </w:r>
      <w:r>
        <w:rPr>
          <w:rFonts w:hint="eastAsia" w:ascii="仿宋_GB2312" w:eastAsia="仿宋_GB2312"/>
          <w:color w:val="FF0000"/>
          <w:sz w:val="32"/>
          <w:szCs w:val="32"/>
          <w:lang w:eastAsia="zh-CN"/>
        </w:rPr>
        <w:t>有关工作，金额</w:t>
      </w:r>
      <w:r>
        <w:rPr>
          <w:rFonts w:hint="eastAsia" w:ascii="仿宋_GB2312" w:eastAsia="仿宋_GB2312"/>
          <w:color w:val="FF0000"/>
          <w:sz w:val="32"/>
          <w:szCs w:val="32"/>
          <w:lang w:val="en-US" w:eastAsia="zh-CN"/>
        </w:rPr>
        <w:t>1425元</w:t>
      </w:r>
      <w:r>
        <w:rPr>
          <w:rFonts w:hint="eastAsia" w:ascii="仿宋_GB2312" w:eastAsia="仿宋_GB2312"/>
          <w:color w:val="FF0000"/>
          <w:sz w:val="32"/>
          <w:szCs w:val="32"/>
        </w:rPr>
        <w:t>。</w:t>
      </w:r>
    </w:p>
    <w:p>
      <w:pPr>
        <w:spacing w:line="600" w:lineRule="exact"/>
        <w:ind w:firstLine="643" w:firstLineChars="200"/>
        <w:rPr>
          <w:rFonts w:ascii="仿宋_GB2312" w:eastAsia="仿宋_GB2312"/>
          <w:color w:val="auto"/>
          <w:sz w:val="32"/>
          <w:szCs w:val="32"/>
        </w:rPr>
      </w:pPr>
      <w:r>
        <w:rPr>
          <w:rFonts w:hint="eastAsia" w:ascii="仿宋" w:hAnsi="仿宋" w:eastAsia="仿宋"/>
          <w:b/>
          <w:color w:val="auto"/>
          <w:sz w:val="32"/>
          <w:szCs w:val="32"/>
        </w:rPr>
        <w:t>外事接待支出</w:t>
      </w:r>
      <w:r>
        <w:rPr>
          <w:rFonts w:hint="eastAsia" w:ascii="仿宋" w:hAnsi="仿宋" w:eastAsia="仿宋"/>
          <w:color w:val="auto"/>
          <w:sz w:val="32"/>
          <w:szCs w:val="32"/>
          <w:lang w:val="en-US" w:eastAsia="zh-CN"/>
        </w:rPr>
        <w:t>0</w:t>
      </w:r>
      <w:r>
        <w:rPr>
          <w:rFonts w:hint="eastAsia" w:ascii="仿宋_GB2312" w:eastAsia="仿宋_GB2312"/>
          <w:color w:val="auto"/>
          <w:sz w:val="32"/>
          <w:szCs w:val="32"/>
        </w:rPr>
        <w:t>万元，外事接待</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批次，</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人，共计支出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p>
    <w:p>
      <w:pPr>
        <w:spacing w:line="600" w:lineRule="exact"/>
        <w:ind w:firstLine="640"/>
        <w:outlineLvl w:val="1"/>
        <w:rPr>
          <w:rFonts w:ascii="黑体" w:eastAsia="黑体"/>
          <w:color w:val="auto"/>
          <w:sz w:val="32"/>
          <w:szCs w:val="32"/>
        </w:rPr>
      </w:pPr>
      <w:bookmarkStart w:id="40" w:name="_Toc15396610"/>
      <w:bookmarkStart w:id="41" w:name="_Toc15377218"/>
    </w:p>
    <w:p>
      <w:pPr>
        <w:spacing w:line="600" w:lineRule="exact"/>
        <w:ind w:firstLine="640"/>
        <w:outlineLvl w:val="1"/>
        <w:rPr>
          <w:rStyle w:val="26"/>
          <w:rFonts w:ascii="黑体" w:hAnsi="黑体" w:eastAsia="黑体"/>
          <w:color w:val="auto"/>
        </w:rPr>
      </w:pPr>
      <w:r>
        <w:rPr>
          <w:rFonts w:hint="eastAsia" w:ascii="黑体" w:eastAsia="黑体"/>
          <w:color w:val="auto"/>
          <w:sz w:val="32"/>
          <w:szCs w:val="32"/>
        </w:rPr>
        <w:t>八、</w:t>
      </w:r>
      <w:r>
        <w:rPr>
          <w:rStyle w:val="26"/>
          <w:rFonts w:hint="eastAsia" w:ascii="黑体" w:hAnsi="黑体" w:eastAsia="黑体"/>
          <w:b w:val="0"/>
          <w:color w:val="auto"/>
        </w:rPr>
        <w:t>政府性基金预算支出决算情况说明</w:t>
      </w:r>
      <w:bookmarkEnd w:id="40"/>
      <w:bookmarkEnd w:id="41"/>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年政府性基金预算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600" w:lineRule="exact"/>
        <w:ind w:firstLine="640"/>
        <w:rPr>
          <w:rFonts w:ascii="仿宋_GB2312" w:eastAsia="仿宋_GB2312"/>
          <w:color w:val="auto"/>
          <w:sz w:val="32"/>
          <w:szCs w:val="32"/>
        </w:rPr>
      </w:pPr>
    </w:p>
    <w:p>
      <w:pPr>
        <w:numPr>
          <w:ilvl w:val="0"/>
          <w:numId w:val="5"/>
        </w:numPr>
        <w:spacing w:line="600" w:lineRule="exact"/>
        <w:ind w:firstLine="640"/>
        <w:outlineLvl w:val="1"/>
        <w:rPr>
          <w:rStyle w:val="26"/>
          <w:rFonts w:ascii="黑体" w:hAnsi="黑体" w:eastAsia="黑体"/>
          <w:b w:val="0"/>
          <w:color w:val="auto"/>
        </w:rPr>
      </w:pPr>
      <w:bookmarkStart w:id="42" w:name="_Toc15377219"/>
      <w:bookmarkStart w:id="43" w:name="_Toc15396611"/>
      <w:r>
        <w:rPr>
          <w:rStyle w:val="26"/>
          <w:rFonts w:hint="eastAsia" w:ascii="黑体" w:hAnsi="黑体" w:eastAsia="黑体"/>
          <w:b w:val="0"/>
          <w:color w:val="auto"/>
        </w:rPr>
        <w:t>国有资本经营预算支出决算情况说明</w:t>
      </w:r>
      <w:bookmarkEnd w:id="42"/>
      <w:bookmarkEnd w:id="43"/>
    </w:p>
    <w:p>
      <w:pPr>
        <w:spacing w:line="600" w:lineRule="exact"/>
        <w:ind w:firstLine="64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年国有资本经营预算</w:t>
      </w:r>
      <w:r>
        <w:rPr>
          <w:rFonts w:hint="eastAsia" w:ascii="仿宋_GB2312" w:eastAsia="仿宋_GB2312"/>
          <w:color w:val="auto"/>
          <w:sz w:val="32"/>
          <w:szCs w:val="32"/>
          <w:lang w:eastAsia="zh-CN"/>
        </w:rPr>
        <w:t>财政</w:t>
      </w:r>
      <w:r>
        <w:rPr>
          <w:rFonts w:hint="eastAsia" w:ascii="仿宋_GB2312" w:eastAsia="仿宋_GB2312"/>
          <w:color w:val="auto"/>
          <w:sz w:val="32"/>
          <w:szCs w:val="32"/>
        </w:rPr>
        <w:t>拨款支出</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w:t>
      </w:r>
    </w:p>
    <w:p>
      <w:pPr>
        <w:spacing w:line="580" w:lineRule="exact"/>
        <w:jc w:val="center"/>
        <w:rPr>
          <w:rFonts w:ascii="方正小标宋简体" w:hAnsi="方正小标宋简体" w:eastAsia="方正小标宋简体" w:cs="方正小标宋简体"/>
          <w:color w:val="auto"/>
          <w:sz w:val="44"/>
          <w:szCs w:val="44"/>
        </w:rPr>
      </w:pPr>
    </w:p>
    <w:p>
      <w:pPr>
        <w:numPr>
          <w:ilvl w:val="0"/>
          <w:numId w:val="5"/>
        </w:numPr>
        <w:spacing w:line="600" w:lineRule="exact"/>
        <w:ind w:firstLine="640"/>
        <w:outlineLvl w:val="1"/>
        <w:rPr>
          <w:rStyle w:val="26"/>
          <w:rFonts w:hint="eastAsia" w:ascii="黑体" w:hAnsi="黑体" w:eastAsia="黑体"/>
          <w:b w:val="0"/>
          <w:color w:val="auto"/>
        </w:rPr>
      </w:pPr>
      <w:bookmarkStart w:id="44" w:name="_Toc15396612"/>
      <w:bookmarkStart w:id="45" w:name="_Toc15377221"/>
      <w:r>
        <w:rPr>
          <w:rStyle w:val="26"/>
          <w:rFonts w:hint="eastAsia" w:ascii="黑体" w:hAnsi="黑体" w:eastAsia="黑体"/>
          <w:b w:val="0"/>
          <w:color w:val="auto"/>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rPr>
      </w:pPr>
      <w:bookmarkStart w:id="46" w:name="_Toc15377222"/>
      <w:r>
        <w:rPr>
          <w:rFonts w:hint="eastAsia" w:ascii="仿宋" w:hAnsi="仿宋" w:eastAsia="仿宋"/>
          <w:b/>
          <w:color w:val="auto"/>
          <w:sz w:val="32"/>
          <w:szCs w:val="32"/>
        </w:rPr>
        <w:t>（一）机关运行经费支出情况</w:t>
      </w:r>
      <w:bookmarkEnd w:id="46"/>
    </w:p>
    <w:p>
      <w:pPr>
        <w:spacing w:line="600" w:lineRule="exact"/>
        <w:ind w:firstLine="640" w:firstLineChars="200"/>
        <w:rPr>
          <w:rFonts w:ascii="仿宋_GB2312" w:eastAsia="仿宋_GB2312"/>
          <w:color w:val="auto"/>
          <w:sz w:val="32"/>
          <w:szCs w:val="32"/>
        </w:rPr>
      </w:pP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eastAsia="zh-CN"/>
        </w:rPr>
        <w:t>四川省生态环境保护综合行政执法总队</w:t>
      </w:r>
      <w:r>
        <w:rPr>
          <w:rFonts w:hint="eastAsia" w:ascii="仿宋_GB2312" w:eastAsia="仿宋_GB2312"/>
          <w:color w:val="auto"/>
          <w:sz w:val="32"/>
          <w:szCs w:val="32"/>
        </w:rPr>
        <w:t>机关运行经费支出</w:t>
      </w:r>
      <w:r>
        <w:rPr>
          <w:rFonts w:hint="eastAsia" w:ascii="仿宋_GB2312" w:eastAsia="仿宋_GB2312"/>
          <w:color w:val="auto"/>
          <w:sz w:val="32"/>
          <w:szCs w:val="32"/>
          <w:lang w:val="en-US" w:eastAsia="zh-CN"/>
        </w:rPr>
        <w:t>453.82</w:t>
      </w:r>
      <w:r>
        <w:rPr>
          <w:rFonts w:hint="eastAsia" w:ascii="仿宋_GB2312" w:eastAsia="仿宋_GB2312"/>
          <w:color w:val="auto"/>
          <w:sz w:val="32"/>
          <w:szCs w:val="32"/>
        </w:rPr>
        <w:t>万元，比</w:t>
      </w:r>
      <w:r>
        <w:rPr>
          <w:rFonts w:ascii="仿宋_GB2312" w:eastAsia="仿宋_GB2312"/>
          <w:color w:val="auto"/>
          <w:sz w:val="32"/>
          <w:szCs w:val="32"/>
        </w:rPr>
        <w:t>201</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年减少</w:t>
      </w:r>
      <w:r>
        <w:rPr>
          <w:rFonts w:hint="eastAsia" w:ascii="仿宋_GB2312" w:eastAsia="仿宋_GB2312"/>
          <w:color w:val="auto"/>
          <w:sz w:val="32"/>
          <w:szCs w:val="32"/>
          <w:lang w:val="en-US" w:eastAsia="zh-CN"/>
        </w:rPr>
        <w:t>109.77</w:t>
      </w:r>
      <w:r>
        <w:rPr>
          <w:rFonts w:hint="eastAsia" w:ascii="仿宋_GB2312" w:eastAsia="仿宋_GB2312"/>
          <w:color w:val="auto"/>
          <w:sz w:val="32"/>
          <w:szCs w:val="32"/>
        </w:rPr>
        <w:t>万元，下降</w:t>
      </w:r>
      <w:r>
        <w:rPr>
          <w:rFonts w:hint="eastAsia" w:ascii="仿宋_GB2312" w:eastAsia="仿宋_GB2312"/>
          <w:color w:val="auto"/>
          <w:sz w:val="32"/>
          <w:szCs w:val="32"/>
          <w:lang w:val="en-US" w:eastAsia="zh-CN"/>
        </w:rPr>
        <w:t>19.48</w:t>
      </w:r>
      <w:r>
        <w:rPr>
          <w:rFonts w:ascii="仿宋_GB2312" w:eastAsia="仿宋_GB2312"/>
          <w:color w:val="auto"/>
          <w:sz w:val="32"/>
          <w:szCs w:val="32"/>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受</w:t>
      </w:r>
      <w:r>
        <w:rPr>
          <w:rFonts w:hint="eastAsia" w:ascii="仿宋_GB2312" w:hAnsi="仿宋_GB2312" w:eastAsia="仿宋_GB2312" w:cs="仿宋_GB2312"/>
          <w:sz w:val="32"/>
          <w:szCs w:val="32"/>
        </w:rPr>
        <w:t>疫情影响，同时落实政府过紧日子要求，</w:t>
      </w:r>
      <w:r>
        <w:rPr>
          <w:rFonts w:hint="eastAsia" w:ascii="仿宋_GB2312" w:hAnsi="仿宋_GB2312" w:eastAsia="仿宋_GB2312" w:cs="仿宋_GB2312"/>
          <w:sz w:val="32"/>
          <w:szCs w:val="32"/>
          <w:lang w:eastAsia="zh-CN"/>
        </w:rPr>
        <w:t>减少公务支出。</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themeColor="text1"/>
          <w:sz w:val="32"/>
          <w:szCs w:val="32"/>
          <w14:textFill>
            <w14:solidFill>
              <w14:schemeClr w14:val="tx1"/>
            </w14:solidFill>
          </w14:textFill>
        </w:rPr>
      </w:pPr>
      <w:bookmarkStart w:id="47" w:name="_Toc15377223"/>
      <w:r>
        <w:rPr>
          <w:rFonts w:hint="eastAsia" w:ascii="仿宋" w:hAnsi="仿宋" w:eastAsia="仿宋"/>
          <w:b/>
          <w:color w:val="000000" w:themeColor="text1"/>
          <w:sz w:val="32"/>
          <w:szCs w:val="32"/>
          <w14:textFill>
            <w14:solidFill>
              <w14:schemeClr w14:val="tx1"/>
            </w14:solidFill>
          </w14:textFill>
        </w:rPr>
        <w:t>（二）政府采购支出情况</w:t>
      </w:r>
      <w:bookmarkEnd w:id="47"/>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20</w:t>
      </w:r>
      <w:r>
        <w:rPr>
          <w:rFonts w:hint="eastAsia" w:ascii="仿宋_GB2312" w:eastAsia="仿宋_GB2312"/>
          <w:color w:val="000000" w:themeColor="text1"/>
          <w:sz w:val="32"/>
          <w:szCs w:val="32"/>
          <w14:textFill>
            <w14:solidFill>
              <w14:schemeClr w14:val="tx1"/>
            </w14:solidFill>
          </w14:textFill>
        </w:rPr>
        <w:t>年，</w:t>
      </w:r>
      <w:r>
        <w:rPr>
          <w:rFonts w:hint="eastAsia" w:ascii="仿宋_GB2312" w:eastAsia="仿宋_GB2312"/>
          <w:color w:val="000000" w:themeColor="text1"/>
          <w:sz w:val="32"/>
          <w:szCs w:val="32"/>
          <w:lang w:eastAsia="zh-CN"/>
          <w14:textFill>
            <w14:solidFill>
              <w14:schemeClr w14:val="tx1"/>
            </w14:solidFill>
          </w14:textFill>
        </w:rPr>
        <w:t>四川省生态环境保护综合行政执法总队</w:t>
      </w:r>
      <w:r>
        <w:rPr>
          <w:rFonts w:hint="eastAsia" w:ascii="仿宋_GB2312" w:eastAsia="仿宋_GB2312"/>
          <w:color w:val="000000" w:themeColor="text1"/>
          <w:sz w:val="32"/>
          <w:szCs w:val="32"/>
          <w14:textFill>
            <w14:solidFill>
              <w14:schemeClr w14:val="tx1"/>
            </w14:solidFill>
          </w14:textFill>
        </w:rPr>
        <w:t>政府采购支出总额</w:t>
      </w:r>
      <w:r>
        <w:rPr>
          <w:rFonts w:hint="eastAsia" w:ascii="仿宋_GB2312" w:eastAsia="仿宋_GB2312"/>
          <w:color w:val="000000" w:themeColor="text1"/>
          <w:sz w:val="32"/>
          <w:szCs w:val="32"/>
          <w:lang w:val="en-US" w:eastAsia="zh-CN"/>
          <w14:textFill>
            <w14:solidFill>
              <w14:schemeClr w14:val="tx1"/>
            </w14:solidFill>
          </w14:textFill>
        </w:rPr>
        <w:t>686.93</w:t>
      </w:r>
      <w:r>
        <w:rPr>
          <w:rFonts w:hint="eastAsia" w:ascii="仿宋_GB2312" w:eastAsia="仿宋_GB2312"/>
          <w:color w:val="000000" w:themeColor="text1"/>
          <w:sz w:val="32"/>
          <w:szCs w:val="32"/>
          <w14:textFill>
            <w14:solidFill>
              <w14:schemeClr w14:val="tx1"/>
            </w14:solidFill>
          </w14:textFill>
        </w:rPr>
        <w:t>万元，其中：政府采购货物支出</w:t>
      </w:r>
      <w:r>
        <w:rPr>
          <w:rFonts w:hint="eastAsia" w:ascii="仿宋_GB2312" w:eastAsia="仿宋_GB2312"/>
          <w:color w:val="000000" w:themeColor="text1"/>
          <w:sz w:val="32"/>
          <w:szCs w:val="32"/>
          <w:lang w:val="en-US" w:eastAsia="zh-CN"/>
          <w14:textFill>
            <w14:solidFill>
              <w14:schemeClr w14:val="tx1"/>
            </w14:solidFill>
          </w14:textFill>
        </w:rPr>
        <w:t>382.68</w:t>
      </w:r>
      <w:r>
        <w:rPr>
          <w:rFonts w:hint="eastAsia" w:ascii="仿宋_GB2312" w:eastAsia="仿宋_GB2312"/>
          <w:color w:val="000000" w:themeColor="text1"/>
          <w:sz w:val="32"/>
          <w:szCs w:val="32"/>
          <w14:textFill>
            <w14:solidFill>
              <w14:schemeClr w14:val="tx1"/>
            </w14:solidFill>
          </w14:textFill>
        </w:rPr>
        <w:t>万元、政府采购工程支出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万元、政府采购服务支出</w:t>
      </w:r>
      <w:r>
        <w:rPr>
          <w:rFonts w:hint="eastAsia" w:ascii="仿宋_GB2312" w:eastAsia="仿宋_GB2312"/>
          <w:color w:val="000000" w:themeColor="text1"/>
          <w:sz w:val="32"/>
          <w:szCs w:val="32"/>
          <w:lang w:val="en-US" w:eastAsia="zh-CN"/>
          <w14:textFill>
            <w14:solidFill>
              <w14:schemeClr w14:val="tx1"/>
            </w14:solidFill>
          </w14:textFill>
        </w:rPr>
        <w:t>304.25</w:t>
      </w:r>
      <w:r>
        <w:rPr>
          <w:rFonts w:hint="eastAsia" w:ascii="仿宋_GB2312" w:eastAsia="仿宋_GB2312"/>
          <w:color w:val="000000" w:themeColor="text1"/>
          <w:sz w:val="32"/>
          <w:szCs w:val="32"/>
          <w14:textFill>
            <w14:solidFill>
              <w14:schemeClr w14:val="tx1"/>
            </w14:solidFill>
          </w14:textFill>
        </w:rPr>
        <w:t>万元。主要用于</w:t>
      </w:r>
      <w:r>
        <w:rPr>
          <w:rFonts w:hint="eastAsia" w:ascii="仿宋_GB2312" w:eastAsia="仿宋_GB2312"/>
          <w:color w:val="000000" w:themeColor="text1"/>
          <w:sz w:val="32"/>
          <w:szCs w:val="32"/>
          <w:lang w:eastAsia="zh-CN"/>
          <w14:textFill>
            <w14:solidFill>
              <w14:schemeClr w14:val="tx1"/>
            </w14:solidFill>
          </w14:textFill>
        </w:rPr>
        <w:t>购买执法装备和信息化运维项目</w:t>
      </w:r>
      <w:r>
        <w:rPr>
          <w:rFonts w:hint="eastAsia" w:ascii="仿宋_GB2312" w:eastAsia="仿宋_GB2312"/>
          <w:color w:val="000000" w:themeColor="text1"/>
          <w:sz w:val="32"/>
          <w:szCs w:val="32"/>
          <w14:textFill>
            <w14:solidFill>
              <w14:schemeClr w14:val="tx1"/>
            </w14:solidFill>
          </w14:textFill>
        </w:rPr>
        <w:t>。授予中小企业合同金额</w:t>
      </w:r>
      <w:r>
        <w:rPr>
          <w:rFonts w:hint="eastAsia" w:ascii="仿宋_GB2312" w:eastAsia="仿宋_GB2312"/>
          <w:color w:val="000000" w:themeColor="text1"/>
          <w:sz w:val="32"/>
          <w:szCs w:val="32"/>
          <w:lang w:val="en-US" w:eastAsia="zh-CN"/>
          <w14:textFill>
            <w14:solidFill>
              <w14:schemeClr w14:val="tx1"/>
            </w14:solidFill>
          </w14:textFill>
        </w:rPr>
        <w:t>136.25</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19.83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，其中：授予小微企业合同金额</w:t>
      </w:r>
      <w:r>
        <w:rPr>
          <w:rFonts w:hint="eastAsia" w:ascii="仿宋_GB2312" w:eastAsia="仿宋_GB2312"/>
          <w:color w:val="000000" w:themeColor="text1"/>
          <w:sz w:val="32"/>
          <w:szCs w:val="32"/>
          <w:lang w:val="en-US" w:eastAsia="zh-CN"/>
          <w14:textFill>
            <w14:solidFill>
              <w14:schemeClr w14:val="tx1"/>
            </w14:solidFill>
          </w14:textFill>
        </w:rPr>
        <w:t>136.25</w:t>
      </w:r>
      <w:r>
        <w:rPr>
          <w:rFonts w:hint="eastAsia" w:ascii="仿宋_GB2312" w:eastAsia="仿宋_GB2312"/>
          <w:color w:val="000000" w:themeColor="text1"/>
          <w:sz w:val="32"/>
          <w:szCs w:val="32"/>
          <w14:textFill>
            <w14:solidFill>
              <w14:schemeClr w14:val="tx1"/>
            </w14:solidFill>
          </w14:textFill>
        </w:rPr>
        <w:t>万元，占政府采购支出总额的</w:t>
      </w:r>
      <w:r>
        <w:rPr>
          <w:rFonts w:hint="eastAsia" w:ascii="仿宋_GB2312" w:eastAsia="仿宋_GB2312"/>
          <w:color w:val="000000" w:themeColor="text1"/>
          <w:sz w:val="32"/>
          <w:szCs w:val="32"/>
          <w:lang w:val="en-US" w:eastAsia="zh-CN"/>
          <w14:textFill>
            <w14:solidFill>
              <w14:schemeClr w14:val="tx1"/>
            </w14:solidFill>
          </w14:textFill>
        </w:rPr>
        <w:t>19.83</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3" w:firstLineChars="200"/>
        <w:rPr>
          <w:rFonts w:ascii="仿宋" w:hAnsi="仿宋" w:eastAsia="仿宋"/>
          <w:b/>
          <w:color w:val="auto"/>
          <w:sz w:val="32"/>
          <w:szCs w:val="32"/>
        </w:rPr>
      </w:pPr>
      <w:r>
        <w:rPr>
          <w:rFonts w:hint="eastAsia" w:ascii="仿宋" w:hAnsi="仿宋" w:eastAsia="仿宋"/>
          <w:b/>
          <w:color w:val="auto"/>
          <w:sz w:val="32"/>
          <w:szCs w:val="32"/>
        </w:rPr>
        <w:t>（注：数据来源于财决附</w:t>
      </w:r>
      <w:r>
        <w:rPr>
          <w:rFonts w:ascii="仿宋" w:hAnsi="仿宋" w:eastAsia="仿宋"/>
          <w:b/>
          <w:color w:val="auto"/>
          <w:sz w:val="32"/>
          <w:szCs w:val="32"/>
        </w:rPr>
        <w:t>03</w:t>
      </w:r>
      <w:r>
        <w:rPr>
          <w:rFonts w:hint="eastAsia" w:ascii="仿宋" w:hAnsi="仿宋" w:eastAsia="仿宋"/>
          <w:b/>
          <w:color w:val="auto"/>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auto"/>
          <w:sz w:val="32"/>
          <w:szCs w:val="32"/>
        </w:rPr>
      </w:pPr>
      <w:bookmarkStart w:id="48" w:name="_Toc15377224"/>
      <w:r>
        <w:rPr>
          <w:rFonts w:hint="eastAsia" w:ascii="仿宋" w:hAnsi="仿宋" w:eastAsia="仿宋"/>
          <w:b/>
          <w:color w:val="auto"/>
          <w:sz w:val="32"/>
          <w:szCs w:val="32"/>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rPr>
      </w:pPr>
      <w:r>
        <w:rPr>
          <w:rFonts w:hint="eastAsia" w:ascii="仿宋_GB2312" w:eastAsia="仿宋_GB2312"/>
          <w:color w:val="auto"/>
          <w:sz w:val="32"/>
          <w:szCs w:val="32"/>
        </w:rPr>
        <w:t>截至</w:t>
      </w:r>
      <w:r>
        <w:rPr>
          <w:rFonts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ascii="仿宋_GB2312" w:eastAsia="仿宋_GB2312"/>
          <w:color w:val="auto"/>
          <w:sz w:val="32"/>
          <w:szCs w:val="32"/>
        </w:rPr>
        <w:t>12</w:t>
      </w:r>
      <w:r>
        <w:rPr>
          <w:rFonts w:hint="eastAsia" w:ascii="仿宋_GB2312" w:eastAsia="仿宋_GB2312"/>
          <w:color w:val="auto"/>
          <w:sz w:val="32"/>
          <w:szCs w:val="32"/>
        </w:rPr>
        <w:t>月</w:t>
      </w:r>
      <w:r>
        <w:rPr>
          <w:rFonts w:ascii="仿宋_GB2312" w:eastAsia="仿宋_GB2312"/>
          <w:color w:val="auto"/>
          <w:sz w:val="32"/>
          <w:szCs w:val="32"/>
        </w:rPr>
        <w:t>31</w:t>
      </w:r>
      <w:r>
        <w:rPr>
          <w:rFonts w:hint="eastAsia" w:ascii="仿宋_GB2312" w:eastAsia="仿宋_GB2312"/>
          <w:color w:val="auto"/>
          <w:sz w:val="32"/>
          <w:szCs w:val="32"/>
        </w:rPr>
        <w:t>日，</w:t>
      </w:r>
      <w:r>
        <w:rPr>
          <w:rFonts w:hint="eastAsia" w:ascii="仿宋_GB2312" w:eastAsia="仿宋_GB2312"/>
          <w:color w:val="auto"/>
          <w:sz w:val="32"/>
          <w:szCs w:val="32"/>
          <w:lang w:eastAsia="zh-CN"/>
        </w:rPr>
        <w:t>四川省生态环境保护综合行政执法总队</w:t>
      </w:r>
      <w:r>
        <w:rPr>
          <w:rFonts w:hint="eastAsia" w:ascii="仿宋_GB2312" w:eastAsia="仿宋_GB2312"/>
          <w:color w:val="auto"/>
          <w:sz w:val="32"/>
          <w:szCs w:val="32"/>
        </w:rPr>
        <w:t>共有车辆</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辆，其中：主要领导干部用车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辆、机要通信用车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辆、应急保障用车</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辆、其他用车</w:t>
      </w:r>
      <w:r>
        <w:rPr>
          <w:rFonts w:hint="eastAsia" w:ascii="仿宋_GB2312" w:eastAsia="仿宋_GB2312"/>
          <w:color w:val="auto"/>
          <w:sz w:val="32"/>
          <w:szCs w:val="32"/>
          <w:lang w:val="en-US" w:eastAsia="zh-CN"/>
        </w:rPr>
        <w:t>15</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其他用车主要是用于</w:t>
      </w:r>
      <w:r>
        <w:rPr>
          <w:rFonts w:hint="eastAsia" w:ascii="仿宋_GB2312" w:eastAsia="仿宋_GB2312"/>
          <w:color w:val="auto"/>
          <w:sz w:val="32"/>
          <w:szCs w:val="32"/>
          <w:lang w:eastAsia="zh-CN"/>
        </w:rPr>
        <w:t>执法用车。</w:t>
      </w:r>
      <w:r>
        <w:rPr>
          <w:rFonts w:hint="eastAsia" w:ascii="仿宋_GB2312" w:eastAsia="仿宋_GB2312"/>
          <w:color w:val="auto"/>
          <w:sz w:val="32"/>
          <w:szCs w:val="32"/>
        </w:rPr>
        <w:t>单价</w:t>
      </w:r>
      <w:r>
        <w:rPr>
          <w:rFonts w:ascii="仿宋_GB2312" w:eastAsia="仿宋_GB2312"/>
          <w:color w:val="auto"/>
          <w:sz w:val="32"/>
          <w:szCs w:val="32"/>
        </w:rPr>
        <w:t>50</w:t>
      </w:r>
      <w:r>
        <w:rPr>
          <w:rFonts w:hint="eastAsia" w:ascii="仿宋_GB2312" w:eastAsia="仿宋_GB2312"/>
          <w:color w:val="auto"/>
          <w:sz w:val="32"/>
          <w:szCs w:val="32"/>
        </w:rPr>
        <w:t>万元以上通用设备</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台（套），单价</w:t>
      </w:r>
      <w:r>
        <w:rPr>
          <w:rFonts w:ascii="仿宋_GB2312" w:eastAsia="仿宋_GB2312"/>
          <w:color w:val="auto"/>
          <w:sz w:val="32"/>
          <w:szCs w:val="32"/>
        </w:rPr>
        <w:t>100</w:t>
      </w:r>
      <w:r>
        <w:rPr>
          <w:rFonts w:hint="eastAsia" w:ascii="仿宋_GB2312" w:eastAsia="仿宋_GB2312"/>
          <w:color w:val="auto"/>
          <w:sz w:val="32"/>
          <w:szCs w:val="32"/>
        </w:rPr>
        <w:t>万元以上专用设备</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台（套）。</w:t>
      </w:r>
    </w:p>
    <w:p>
      <w:pPr>
        <w:autoSpaceDE w:val="0"/>
        <w:autoSpaceDN w:val="0"/>
        <w:adjustRightInd w:val="0"/>
        <w:spacing w:line="600" w:lineRule="exact"/>
        <w:ind w:firstLine="643" w:firstLineChars="200"/>
        <w:jc w:val="left"/>
        <w:rPr>
          <w:rFonts w:ascii="仿宋" w:hAnsi="仿宋" w:eastAsia="仿宋"/>
          <w:b/>
          <w:color w:val="auto"/>
          <w:sz w:val="32"/>
          <w:szCs w:val="32"/>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表，按部门决算报表填报数据罗列车辆情况。）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lang w:eastAsia="zh-CN"/>
        </w:rPr>
      </w:pPr>
      <w:r>
        <w:rPr>
          <w:rFonts w:hint="eastAsia" w:ascii="仿宋" w:hAnsi="仿宋" w:eastAsia="仿宋"/>
          <w:b/>
          <w:color w:val="auto"/>
          <w:sz w:val="32"/>
          <w:szCs w:val="32"/>
        </w:rPr>
        <w:t>（四）预算绩效管理情况</w:t>
      </w:r>
    </w:p>
    <w:p>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根据预算绩效管理要求，本单位在</w:t>
      </w:r>
      <w:r>
        <w:rPr>
          <w:rFonts w:hint="eastAsia" w:ascii="仿宋_GB2312" w:hAnsi="仿宋_GB2312" w:eastAsia="仿宋_GB2312" w:cs="仿宋_GB2312"/>
          <w:color w:val="auto"/>
          <w:sz w:val="32"/>
          <w:szCs w:val="32"/>
          <w:lang w:val="en-US" w:eastAsia="zh-CN"/>
        </w:rPr>
        <w:t>2020年度</w:t>
      </w:r>
      <w:r>
        <w:rPr>
          <w:rFonts w:hint="eastAsia" w:ascii="仿宋_GB2312" w:hAnsi="仿宋_GB2312" w:eastAsia="仿宋_GB2312" w:cs="仿宋_GB2312"/>
          <w:color w:val="auto"/>
          <w:sz w:val="32"/>
          <w:szCs w:val="32"/>
        </w:rPr>
        <w:t>预算编制阶段，组织对信息化建设及运行维护费项目（项目名称）开展了预算事前绩效评估，对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个项目编制了绩效目标，预算执行过程中，选取</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个项目开展绩效监控，年终执行完毕后，对</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个项目开展了绩效目标完成情况自评。</w:t>
      </w:r>
    </w:p>
    <w:p>
      <w:pPr>
        <w:adjustRightInd w:val="0"/>
        <w:snapToGrid w:val="0"/>
        <w:spacing w:line="62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按要求对20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年整体支出开展绩效自评，从评价情况来看</w:t>
      </w:r>
      <w:r>
        <w:rPr>
          <w:rFonts w:hint="eastAsia" w:ascii="仿宋_GB2312" w:hAnsi="仿宋_GB2312" w:eastAsia="仿宋_GB2312" w:cs="仿宋_GB2312"/>
          <w:color w:val="auto"/>
          <w:sz w:val="32"/>
          <w:szCs w:val="32"/>
          <w:lang w:eastAsia="zh-CN"/>
        </w:rPr>
        <w:t>我队整体目标完成良好。</w:t>
      </w:r>
      <w:r>
        <w:rPr>
          <w:rFonts w:hint="eastAsia" w:ascii="仿宋_GB2312" w:hAnsi="仿宋_GB2312" w:eastAsia="仿宋_GB2312" w:cs="仿宋_GB2312"/>
          <w:color w:val="auto"/>
          <w:sz w:val="32"/>
          <w:szCs w:val="32"/>
          <w:lang w:val="en-US" w:eastAsia="zh-CN"/>
        </w:rPr>
        <w:t>2020年我队主要工作成效：</w:t>
      </w:r>
      <w:r>
        <w:rPr>
          <w:rFonts w:hint="eastAsia" w:eastAsia="楷体"/>
          <w:b/>
          <w:sz w:val="32"/>
          <w:szCs w:val="32"/>
          <w:lang w:eastAsia="zh-CN"/>
        </w:rPr>
        <w:t>一是</w:t>
      </w:r>
      <w:r>
        <w:rPr>
          <w:rFonts w:ascii="Times New Roman" w:hAnsi="Times New Roman" w:eastAsia="楷体"/>
          <w:b/>
          <w:sz w:val="32"/>
          <w:szCs w:val="32"/>
        </w:rPr>
        <w:t>全力</w:t>
      </w:r>
      <w:r>
        <w:rPr>
          <w:rFonts w:hint="eastAsia" w:ascii="Times New Roman" w:hAnsi="Times New Roman" w:eastAsia="楷体"/>
          <w:b/>
          <w:sz w:val="32"/>
          <w:szCs w:val="32"/>
        </w:rPr>
        <w:t>应对</w:t>
      </w:r>
      <w:r>
        <w:rPr>
          <w:rFonts w:ascii="Times New Roman" w:hAnsi="Times New Roman" w:eastAsia="楷体"/>
          <w:b/>
          <w:sz w:val="32"/>
          <w:szCs w:val="32"/>
        </w:rPr>
        <w:t>新冠</w:t>
      </w:r>
      <w:r>
        <w:rPr>
          <w:rFonts w:hint="eastAsia" w:ascii="Times New Roman" w:hAnsi="Times New Roman" w:eastAsia="楷体"/>
          <w:b/>
          <w:sz w:val="32"/>
          <w:szCs w:val="32"/>
        </w:rPr>
        <w:t>肺炎</w:t>
      </w:r>
      <w:r>
        <w:rPr>
          <w:rFonts w:ascii="Times New Roman" w:hAnsi="Times New Roman" w:eastAsia="楷体"/>
          <w:b/>
          <w:sz w:val="32"/>
          <w:szCs w:val="32"/>
        </w:rPr>
        <w:t>疫情防控。</w:t>
      </w:r>
      <w:r>
        <w:rPr>
          <w:rFonts w:ascii="Times New Roman" w:hAnsi="Times New Roman" w:eastAsia="仿宋_GB2312"/>
          <w:sz w:val="32"/>
          <w:szCs w:val="32"/>
        </w:rPr>
        <w:t>充分利用在线监控、视频监控</w:t>
      </w:r>
      <w:r>
        <w:rPr>
          <w:rFonts w:hint="eastAsia" w:ascii="Times New Roman" w:hAnsi="Times New Roman" w:eastAsia="仿宋_GB2312"/>
          <w:sz w:val="32"/>
          <w:szCs w:val="32"/>
        </w:rPr>
        <w:t>，加强</w:t>
      </w:r>
      <w:r>
        <w:rPr>
          <w:rFonts w:ascii="Times New Roman" w:hAnsi="Times New Roman" w:eastAsia="仿宋_GB2312"/>
          <w:sz w:val="32"/>
          <w:szCs w:val="32"/>
        </w:rPr>
        <w:t>重点</w:t>
      </w:r>
      <w:r>
        <w:rPr>
          <w:rFonts w:hint="eastAsia" w:ascii="Times New Roman" w:hAnsi="Times New Roman" w:eastAsia="仿宋_GB2312"/>
          <w:sz w:val="32"/>
          <w:szCs w:val="32"/>
        </w:rPr>
        <w:t>企业治污设施运行监管</w:t>
      </w:r>
      <w:r>
        <w:rPr>
          <w:rFonts w:ascii="Times New Roman" w:hAnsi="Times New Roman" w:eastAsia="仿宋_GB2312"/>
          <w:sz w:val="32"/>
          <w:szCs w:val="32"/>
        </w:rPr>
        <w:t>，</w:t>
      </w:r>
      <w:r>
        <w:rPr>
          <w:rFonts w:hint="eastAsia" w:ascii="Times New Roman" w:hAnsi="Times New Roman" w:eastAsia="仿宋_GB2312"/>
          <w:sz w:val="32"/>
          <w:szCs w:val="32"/>
        </w:rPr>
        <w:t>组织力量对</w:t>
      </w:r>
      <w:r>
        <w:rPr>
          <w:rFonts w:ascii="Times New Roman" w:hAnsi="Times New Roman" w:eastAsia="仿宋_GB2312"/>
          <w:sz w:val="32"/>
          <w:szCs w:val="32"/>
        </w:rPr>
        <w:t>医疗机构</w:t>
      </w:r>
      <w:r>
        <w:rPr>
          <w:rFonts w:hint="eastAsia" w:ascii="Times New Roman" w:hAnsi="Times New Roman" w:eastAsia="仿宋_GB2312"/>
          <w:sz w:val="32"/>
          <w:szCs w:val="32"/>
        </w:rPr>
        <w:t>开展现场检查</w:t>
      </w:r>
      <w:r>
        <w:rPr>
          <w:rFonts w:ascii="Times New Roman" w:hAnsi="Times New Roman" w:eastAsia="仿宋_GB2312"/>
          <w:sz w:val="32"/>
          <w:szCs w:val="32"/>
        </w:rPr>
        <w:t>8921家次、医废处置单位</w:t>
      </w:r>
      <w:r>
        <w:rPr>
          <w:rFonts w:hint="eastAsia" w:ascii="Times New Roman" w:hAnsi="Times New Roman" w:eastAsia="仿宋_GB2312"/>
          <w:sz w:val="32"/>
          <w:szCs w:val="32"/>
        </w:rPr>
        <w:t>检查</w:t>
      </w:r>
      <w:r>
        <w:rPr>
          <w:rFonts w:ascii="Times New Roman" w:hAnsi="Times New Roman" w:eastAsia="仿宋_GB2312"/>
          <w:sz w:val="32"/>
          <w:szCs w:val="32"/>
        </w:rPr>
        <w:t>1176家次</w:t>
      </w:r>
      <w:r>
        <w:rPr>
          <w:rFonts w:hint="eastAsia" w:ascii="Times New Roman" w:hAnsi="Times New Roman" w:eastAsia="仿宋_GB2312"/>
          <w:sz w:val="32"/>
          <w:szCs w:val="32"/>
        </w:rPr>
        <w:t>，</w:t>
      </w:r>
      <w:r>
        <w:rPr>
          <w:rFonts w:ascii="Times New Roman" w:hAnsi="Times New Roman" w:eastAsia="仿宋_GB2312"/>
          <w:sz w:val="32"/>
          <w:szCs w:val="32"/>
        </w:rPr>
        <w:t>污水处理厂检查5454家次，编制发放了医废处置守法手册。</w:t>
      </w:r>
      <w:r>
        <w:rPr>
          <w:rFonts w:hint="eastAsia" w:eastAsia="楷体"/>
          <w:b/>
          <w:color w:val="000000" w:themeColor="text1"/>
          <w:sz w:val="32"/>
          <w:szCs w:val="32"/>
          <w:lang w:eastAsia="zh-CN"/>
          <w14:textFill>
            <w14:solidFill>
              <w14:schemeClr w14:val="tx1"/>
            </w14:solidFill>
          </w14:textFill>
        </w:rPr>
        <w:t>二是深入</w:t>
      </w:r>
      <w:r>
        <w:rPr>
          <w:rFonts w:ascii="Times New Roman" w:hAnsi="Times New Roman" w:eastAsia="楷体"/>
          <w:b/>
          <w:color w:val="000000" w:themeColor="text1"/>
          <w:sz w:val="32"/>
          <w:szCs w:val="32"/>
          <w14:textFill>
            <w14:solidFill>
              <w14:schemeClr w14:val="tx1"/>
            </w14:solidFill>
          </w14:textFill>
        </w:rPr>
        <w:t>打好污染防治攻坚战</w:t>
      </w:r>
      <w:r>
        <w:rPr>
          <w:rFonts w:ascii="Times New Roman" w:hAnsi="Times New Roman" w:eastAsia="楷体_GB2312"/>
          <w:b/>
          <w:color w:val="000000" w:themeColor="text1"/>
          <w:sz w:val="32"/>
          <w:szCs w:val="32"/>
          <w14:textFill>
            <w14:solidFill>
              <w14:schemeClr w14:val="tx1"/>
            </w14:solidFill>
          </w14:textFill>
        </w:rPr>
        <w:t>。</w:t>
      </w:r>
      <w:r>
        <w:rPr>
          <w:rFonts w:hint="eastAsia" w:eastAsia="楷体_GB2312"/>
          <w:b w:val="0"/>
          <w:bCs/>
          <w:color w:val="000000" w:themeColor="text1"/>
          <w:sz w:val="32"/>
          <w:szCs w:val="32"/>
          <w:lang w:eastAsia="zh-CN"/>
          <w14:textFill>
            <w14:solidFill>
              <w14:schemeClr w14:val="tx1"/>
            </w14:solidFill>
          </w14:textFill>
        </w:rPr>
        <w:t>开展</w:t>
      </w:r>
      <w:r>
        <w:rPr>
          <w:rFonts w:ascii="Times New Roman" w:hAnsi="Times New Roman" w:eastAsia="仿宋_GB2312"/>
          <w:color w:val="000000" w:themeColor="text1"/>
          <w:sz w:val="32"/>
          <w:szCs w:val="32"/>
          <w14:textFill>
            <w14:solidFill>
              <w14:schemeClr w14:val="tx1"/>
            </w14:solidFill>
          </w14:textFill>
        </w:rPr>
        <w:t>20</w:t>
      </w:r>
      <w:r>
        <w:rPr>
          <w:rFonts w:ascii="Times New Roman" w:hAnsi="Times New Roman" w:eastAsia="仿宋_GB2312"/>
          <w:sz w:val="32"/>
          <w:szCs w:val="32"/>
        </w:rPr>
        <w:t>20年</w:t>
      </w:r>
      <w:r>
        <w:rPr>
          <w:rFonts w:hint="eastAsia" w:eastAsia="仿宋_GB2312"/>
          <w:sz w:val="32"/>
          <w:szCs w:val="32"/>
          <w:lang w:eastAsia="zh-CN"/>
        </w:rPr>
        <w:t>秋</w:t>
      </w:r>
      <w:r>
        <w:rPr>
          <w:rFonts w:ascii="Times New Roman" w:hAnsi="Times New Roman" w:eastAsia="仿宋_GB2312"/>
          <w:bCs/>
          <w:sz w:val="32"/>
          <w:szCs w:val="32"/>
        </w:rPr>
        <w:t>冬季大气</w:t>
      </w:r>
      <w:r>
        <w:rPr>
          <w:rFonts w:hint="eastAsia" w:ascii="Times New Roman" w:hAnsi="Times New Roman" w:eastAsia="仿宋_GB2312"/>
          <w:bCs/>
          <w:sz w:val="32"/>
          <w:szCs w:val="32"/>
        </w:rPr>
        <w:t>污染防治</w:t>
      </w:r>
      <w:r>
        <w:rPr>
          <w:rFonts w:hint="eastAsia" w:eastAsia="仿宋_GB2312"/>
          <w:bCs/>
          <w:sz w:val="32"/>
          <w:szCs w:val="32"/>
          <w:lang w:eastAsia="zh-CN"/>
        </w:rPr>
        <w:t>和夏季臭氧防控</w:t>
      </w:r>
      <w:r>
        <w:rPr>
          <w:rFonts w:hint="eastAsia" w:ascii="Times New Roman" w:hAnsi="Times New Roman" w:eastAsia="仿宋_GB2312"/>
          <w:bCs/>
          <w:sz w:val="32"/>
          <w:szCs w:val="32"/>
        </w:rPr>
        <w:t>攻坚帮扶</w:t>
      </w:r>
      <w:r>
        <w:rPr>
          <w:rFonts w:hint="eastAsia" w:eastAsia="仿宋_GB2312"/>
          <w:bCs/>
          <w:sz w:val="32"/>
          <w:szCs w:val="32"/>
          <w:lang w:eastAsia="zh-CN"/>
        </w:rPr>
        <w:t>，</w:t>
      </w:r>
      <w:r>
        <w:rPr>
          <w:rFonts w:ascii="Times New Roman" w:hAnsi="Times New Roman" w:eastAsia="仿宋_GB2312"/>
          <w:sz w:val="32"/>
          <w:szCs w:val="32"/>
        </w:rPr>
        <w:t>开展长江经济带生态环境问题集中排查整治</w:t>
      </w:r>
      <w:r>
        <w:rPr>
          <w:rFonts w:hint="eastAsia" w:ascii="Times New Roman" w:hAnsi="Times New Roman" w:eastAsia="仿宋_GB2312"/>
          <w:sz w:val="32"/>
          <w:szCs w:val="32"/>
        </w:rPr>
        <w:t>（发</w:t>
      </w:r>
      <w:r>
        <w:rPr>
          <w:rFonts w:ascii="Times New Roman" w:hAnsi="Times New Roman" w:eastAsia="仿宋_GB2312"/>
          <w:sz w:val="32"/>
          <w:szCs w:val="32"/>
        </w:rPr>
        <w:t>现问题8638个</w:t>
      </w:r>
      <w:r>
        <w:rPr>
          <w:rFonts w:hint="eastAsia" w:ascii="Times New Roman" w:hAnsi="Times New Roman" w:eastAsia="仿宋_GB2312"/>
          <w:sz w:val="32"/>
          <w:szCs w:val="32"/>
        </w:rPr>
        <w:t>）</w:t>
      </w:r>
      <w:r>
        <w:rPr>
          <w:rFonts w:hint="eastAsia" w:eastAsia="仿宋_GB2312"/>
          <w:sz w:val="32"/>
          <w:szCs w:val="32"/>
          <w:lang w:eastAsia="zh-CN"/>
        </w:rPr>
        <w:t>，</w:t>
      </w:r>
      <w:r>
        <w:rPr>
          <w:rFonts w:hint="eastAsia" w:ascii="Times New Roman" w:hAnsi="Times New Roman" w:eastAsia="仿宋_GB2312"/>
          <w:sz w:val="32"/>
          <w:szCs w:val="32"/>
        </w:rPr>
        <w:t>组织开展</w:t>
      </w:r>
      <w:r>
        <w:rPr>
          <w:rFonts w:ascii="Times New Roman" w:hAnsi="Times New Roman" w:eastAsia="仿宋_GB2312"/>
          <w:sz w:val="32"/>
          <w:szCs w:val="32"/>
        </w:rPr>
        <w:t>土壤环境</w:t>
      </w:r>
      <w:r>
        <w:rPr>
          <w:rFonts w:hint="eastAsia" w:eastAsia="仿宋_GB2312"/>
          <w:sz w:val="32"/>
          <w:szCs w:val="32"/>
          <w:lang w:eastAsia="zh-CN"/>
        </w:rPr>
        <w:t>网络防控</w:t>
      </w:r>
      <w:r>
        <w:rPr>
          <w:rFonts w:hint="eastAsia" w:ascii="Times New Roman" w:hAnsi="Times New Roman" w:eastAsia="仿宋_GB2312"/>
          <w:sz w:val="32"/>
          <w:szCs w:val="32"/>
        </w:rPr>
        <w:t>排查。全年共立案</w:t>
      </w:r>
      <w:r>
        <w:rPr>
          <w:rFonts w:ascii="Times New Roman" w:hAnsi="Times New Roman" w:eastAsia="仿宋_GB2312"/>
          <w:sz w:val="32"/>
          <w:szCs w:val="32"/>
        </w:rPr>
        <w:t>查处2411件、处罚金额1.68亿元，适用《环境保护法》四个配套办法及移送司法机关185件。</w:t>
      </w:r>
      <w:r>
        <w:rPr>
          <w:rFonts w:hint="eastAsia" w:eastAsia="楷体"/>
          <w:b/>
          <w:sz w:val="32"/>
          <w:szCs w:val="32"/>
          <w:lang w:eastAsia="zh-CN"/>
        </w:rPr>
        <w:t>三是</w:t>
      </w:r>
      <w:r>
        <w:rPr>
          <w:rFonts w:ascii="Times New Roman" w:hAnsi="Times New Roman" w:eastAsia="楷体"/>
          <w:b/>
          <w:sz w:val="32"/>
          <w:szCs w:val="32"/>
        </w:rPr>
        <w:t>积极</w:t>
      </w:r>
      <w:r>
        <w:rPr>
          <w:rFonts w:hint="eastAsia" w:ascii="Times New Roman" w:hAnsi="Times New Roman" w:eastAsia="楷体"/>
          <w:b/>
          <w:sz w:val="32"/>
          <w:szCs w:val="32"/>
        </w:rPr>
        <w:t>推进</w:t>
      </w:r>
      <w:r>
        <w:rPr>
          <w:rFonts w:ascii="Times New Roman" w:hAnsi="Times New Roman" w:eastAsia="楷体"/>
          <w:b/>
          <w:sz w:val="32"/>
          <w:szCs w:val="32"/>
        </w:rPr>
        <w:t>执法方式</w:t>
      </w:r>
      <w:r>
        <w:rPr>
          <w:rFonts w:hint="eastAsia" w:ascii="Times New Roman" w:hAnsi="Times New Roman" w:eastAsia="楷体"/>
          <w:b/>
          <w:sz w:val="32"/>
          <w:szCs w:val="32"/>
        </w:rPr>
        <w:t>转变</w:t>
      </w:r>
      <w:r>
        <w:rPr>
          <w:rFonts w:ascii="Times New Roman" w:hAnsi="Times New Roman" w:eastAsia="楷体"/>
          <w:b/>
          <w:sz w:val="32"/>
          <w:szCs w:val="32"/>
        </w:rPr>
        <w:t>。</w:t>
      </w:r>
      <w:r>
        <w:rPr>
          <w:rFonts w:ascii="Times New Roman" w:hAnsi="Times New Roman" w:eastAsia="仿宋_GB2312"/>
          <w:sz w:val="32"/>
          <w:szCs w:val="32"/>
        </w:rPr>
        <w:t>强化监督执法正面清单执行， 3141家企业纳入正面清单名录，非现场检查6641家次清单内企业；出台奖励举报制度，设立‘环保曝光台’，明确了网格员举报环境违法行为作为奖励的重要情形；</w:t>
      </w:r>
      <w:r>
        <w:rPr>
          <w:rFonts w:hint="eastAsia" w:ascii="Times New Roman" w:hAnsi="Times New Roman" w:eastAsia="仿宋_GB2312"/>
          <w:sz w:val="32"/>
          <w:szCs w:val="32"/>
        </w:rPr>
        <w:t>在</w:t>
      </w:r>
      <w:r>
        <w:rPr>
          <w:rFonts w:ascii="Times New Roman" w:hAnsi="Times New Roman" w:eastAsia="仿宋_GB2312"/>
          <w:sz w:val="32"/>
          <w:szCs w:val="32"/>
        </w:rPr>
        <w:t>全国</w:t>
      </w:r>
      <w:r>
        <w:rPr>
          <w:rFonts w:hint="eastAsia" w:ascii="Times New Roman" w:hAnsi="Times New Roman" w:eastAsia="仿宋_GB2312"/>
          <w:sz w:val="32"/>
          <w:szCs w:val="32"/>
        </w:rPr>
        <w:t>率先出台省级</w:t>
      </w:r>
      <w:r>
        <w:rPr>
          <w:rFonts w:ascii="Times New Roman" w:hAnsi="Times New Roman" w:eastAsia="仿宋_GB2312"/>
          <w:sz w:val="32"/>
          <w:szCs w:val="32"/>
        </w:rPr>
        <w:t>行政处罚信息公开办法</w:t>
      </w:r>
      <w:r>
        <w:rPr>
          <w:rFonts w:ascii="Times New Roman" w:hAnsi="Times New Roman" w:eastAsia="仿宋_GB2312"/>
          <w:bCs/>
          <w:sz w:val="32"/>
          <w:szCs w:val="32"/>
        </w:rPr>
        <w:t>；出台《四川省生态环境保护综合行政执法事项指导目录》，确定181项执法事项；指导成都市郫都区网格化环境监管与“大联动、微治理”社会治理体系深度融合。</w:t>
      </w:r>
      <w:r>
        <w:rPr>
          <w:rFonts w:hint="eastAsia" w:eastAsia="楷体"/>
          <w:b/>
          <w:sz w:val="32"/>
          <w:szCs w:val="32"/>
          <w:lang w:eastAsia="zh-CN"/>
        </w:rPr>
        <w:t>四是持续</w:t>
      </w:r>
      <w:r>
        <w:rPr>
          <w:rFonts w:hint="eastAsia" w:ascii="Times New Roman" w:hAnsi="Times New Roman" w:eastAsia="楷体"/>
          <w:b/>
          <w:sz w:val="32"/>
          <w:szCs w:val="32"/>
        </w:rPr>
        <w:t>加强</w:t>
      </w:r>
      <w:r>
        <w:rPr>
          <w:rFonts w:ascii="Times New Roman" w:hAnsi="Times New Roman" w:eastAsia="楷体"/>
          <w:b/>
          <w:sz w:val="32"/>
          <w:szCs w:val="32"/>
        </w:rPr>
        <w:t>执法能力建设。</w:t>
      </w:r>
      <w:r>
        <w:rPr>
          <w:rFonts w:ascii="Times New Roman" w:hAnsi="Times New Roman" w:eastAsia="仿宋_GB2312"/>
          <w:bCs/>
          <w:sz w:val="32"/>
          <w:szCs w:val="32"/>
        </w:rPr>
        <w:t>推动综合行政执法改革落地落实，全省核定参公编制3734名</w:t>
      </w:r>
      <w:r>
        <w:rPr>
          <w:rFonts w:hint="eastAsia" w:eastAsia="仿宋_GB2312"/>
          <w:bCs/>
          <w:sz w:val="32"/>
          <w:szCs w:val="32"/>
          <w:lang w:eastAsia="zh-CN"/>
        </w:rPr>
        <w:t>，</w:t>
      </w:r>
      <w:r>
        <w:rPr>
          <w:rFonts w:ascii="Times New Roman" w:hAnsi="Times New Roman" w:eastAsia="仿宋_GB2312"/>
          <w:bCs/>
          <w:sz w:val="32"/>
          <w:szCs w:val="32"/>
        </w:rPr>
        <w:t>增加114名，</w:t>
      </w:r>
      <w:r>
        <w:rPr>
          <w:rFonts w:ascii="Times New Roman" w:hAnsi="Times New Roman" w:eastAsia="仿宋_GB2312"/>
          <w:sz w:val="32"/>
          <w:szCs w:val="32"/>
        </w:rPr>
        <w:t>成都、自贡等14个市（州）完成市级</w:t>
      </w:r>
      <w:r>
        <w:rPr>
          <w:rFonts w:hint="eastAsia" w:eastAsia="仿宋_GB2312"/>
          <w:sz w:val="32"/>
          <w:szCs w:val="32"/>
          <w:lang w:eastAsia="zh-CN"/>
        </w:rPr>
        <w:t>机构</w:t>
      </w:r>
      <w:r>
        <w:rPr>
          <w:rFonts w:ascii="Times New Roman" w:hAnsi="Times New Roman" w:eastAsia="仿宋_GB2312"/>
          <w:sz w:val="32"/>
          <w:szCs w:val="32"/>
        </w:rPr>
        <w:t>挂牌，132个县（市、区）实行“局队合一”。</w:t>
      </w:r>
      <w:r>
        <w:rPr>
          <w:rFonts w:ascii="Times New Roman" w:hAnsi="Times New Roman" w:eastAsia="仿宋_GB2312"/>
          <w:bCs/>
          <w:sz w:val="32"/>
          <w:szCs w:val="32"/>
        </w:rPr>
        <w:t>开展业务标兵和岗位能手</w:t>
      </w:r>
      <w:r>
        <w:rPr>
          <w:rFonts w:hint="eastAsia" w:ascii="Times New Roman" w:hAnsi="Times New Roman" w:eastAsia="仿宋_GB2312"/>
          <w:bCs/>
          <w:sz w:val="32"/>
          <w:szCs w:val="32"/>
        </w:rPr>
        <w:t>比赛</w:t>
      </w:r>
      <w:r>
        <w:rPr>
          <w:rFonts w:ascii="Times New Roman" w:hAnsi="Times New Roman" w:eastAsia="仿宋_GB2312"/>
          <w:bCs/>
          <w:sz w:val="32"/>
          <w:szCs w:val="32"/>
        </w:rPr>
        <w:t>，从全省121名参赛选手中</w:t>
      </w:r>
      <w:r>
        <w:rPr>
          <w:rFonts w:hint="eastAsia" w:ascii="Times New Roman" w:hAnsi="Times New Roman" w:eastAsia="仿宋_GB2312"/>
          <w:bCs/>
          <w:sz w:val="32"/>
          <w:szCs w:val="32"/>
        </w:rPr>
        <w:t>选</w:t>
      </w:r>
      <w:r>
        <w:rPr>
          <w:rFonts w:ascii="Times New Roman" w:hAnsi="Times New Roman" w:eastAsia="仿宋_GB2312"/>
          <w:bCs/>
          <w:sz w:val="32"/>
          <w:szCs w:val="32"/>
        </w:rPr>
        <w:t>出</w:t>
      </w:r>
      <w:r>
        <w:rPr>
          <w:rFonts w:hint="eastAsia" w:ascii="Times New Roman" w:hAnsi="Times New Roman" w:eastAsia="仿宋_GB2312"/>
          <w:bCs/>
          <w:sz w:val="32"/>
          <w:szCs w:val="32"/>
        </w:rPr>
        <w:t>30位能手</w:t>
      </w:r>
      <w:r>
        <w:rPr>
          <w:rFonts w:ascii="Times New Roman" w:hAnsi="Times New Roman" w:eastAsia="仿宋_GB2312"/>
          <w:bCs/>
          <w:sz w:val="32"/>
          <w:szCs w:val="32"/>
        </w:rPr>
        <w:t>10名标兵。强化执法装备建设，编制</w:t>
      </w:r>
      <w:r>
        <w:rPr>
          <w:rFonts w:hint="eastAsia" w:ascii="Times New Roman" w:hAnsi="Times New Roman" w:eastAsia="仿宋_GB2312"/>
          <w:bCs/>
          <w:sz w:val="32"/>
          <w:szCs w:val="32"/>
        </w:rPr>
        <w:t>环境</w:t>
      </w:r>
      <w:r>
        <w:rPr>
          <w:rFonts w:ascii="Times New Roman" w:hAnsi="Times New Roman" w:eastAsia="仿宋_GB2312"/>
          <w:bCs/>
          <w:sz w:val="32"/>
          <w:szCs w:val="32"/>
        </w:rPr>
        <w:t>执法三年能力</w:t>
      </w:r>
      <w:r>
        <w:rPr>
          <w:rFonts w:hint="eastAsia" w:ascii="Times New Roman" w:hAnsi="Times New Roman" w:eastAsia="仿宋_GB2312"/>
          <w:bCs/>
          <w:sz w:val="32"/>
          <w:szCs w:val="32"/>
        </w:rPr>
        <w:t>提升计</w:t>
      </w:r>
      <w:r>
        <w:rPr>
          <w:rFonts w:ascii="Times New Roman" w:hAnsi="Times New Roman" w:eastAsia="仿宋_GB2312"/>
          <w:bCs/>
          <w:sz w:val="32"/>
          <w:szCs w:val="32"/>
        </w:rPr>
        <w:t>划，</w:t>
      </w:r>
      <w:r>
        <w:rPr>
          <w:rFonts w:hint="eastAsia" w:ascii="Times New Roman" w:hAnsi="Times New Roman" w:eastAsia="仿宋_GB2312"/>
          <w:bCs/>
          <w:sz w:val="32"/>
          <w:szCs w:val="32"/>
        </w:rPr>
        <w:t>争取省财政支持，</w:t>
      </w:r>
      <w:r>
        <w:rPr>
          <w:rFonts w:hint="eastAsia" w:eastAsia="仿宋_GB2312"/>
          <w:bCs/>
          <w:sz w:val="32"/>
          <w:szCs w:val="32"/>
          <w:lang w:eastAsia="zh-CN"/>
        </w:rPr>
        <w:t>全省</w:t>
      </w:r>
      <w:r>
        <w:rPr>
          <w:rFonts w:ascii="Times New Roman" w:hAnsi="Times New Roman" w:eastAsia="仿宋_GB2312"/>
          <w:bCs/>
          <w:sz w:val="32"/>
          <w:szCs w:val="32"/>
        </w:rPr>
        <w:t>增</w:t>
      </w:r>
      <w:r>
        <w:rPr>
          <w:rFonts w:hint="eastAsia" w:ascii="Times New Roman" w:hAnsi="Times New Roman" w:eastAsia="仿宋_GB2312"/>
          <w:bCs/>
          <w:sz w:val="32"/>
          <w:szCs w:val="32"/>
        </w:rPr>
        <w:t>换</w:t>
      </w:r>
      <w:r>
        <w:rPr>
          <w:rFonts w:ascii="Times New Roman" w:hAnsi="Times New Roman" w:eastAsia="仿宋_GB2312"/>
          <w:bCs/>
          <w:sz w:val="32"/>
          <w:szCs w:val="32"/>
        </w:rPr>
        <w:t>326台执法执勤车。</w:t>
      </w:r>
      <w:r>
        <w:rPr>
          <w:rFonts w:hint="eastAsia" w:eastAsia="楷体"/>
          <w:b/>
          <w:sz w:val="32"/>
          <w:szCs w:val="32"/>
          <w:lang w:eastAsia="zh-CN"/>
        </w:rPr>
        <w:t>五是推进跨区域跨部门</w:t>
      </w:r>
      <w:r>
        <w:rPr>
          <w:rFonts w:ascii="Times New Roman" w:hAnsi="Times New Roman" w:eastAsia="楷体"/>
          <w:b/>
          <w:sz w:val="32"/>
          <w:szCs w:val="32"/>
        </w:rPr>
        <w:t>联合执法。</w:t>
      </w:r>
      <w:r>
        <w:rPr>
          <w:rFonts w:ascii="Times New Roman" w:hAnsi="Times New Roman" w:eastAsia="仿宋_GB2312"/>
          <w:sz w:val="32"/>
          <w:szCs w:val="32"/>
        </w:rPr>
        <w:t>与重庆市签订</w:t>
      </w:r>
      <w:r>
        <w:rPr>
          <w:rFonts w:hint="eastAsia" w:ascii="Times New Roman" w:hAnsi="Times New Roman" w:eastAsia="仿宋_GB2312"/>
          <w:sz w:val="32"/>
          <w:szCs w:val="32"/>
        </w:rPr>
        <w:t>川渝两地生态环境保护</w:t>
      </w:r>
      <w:r>
        <w:rPr>
          <w:rFonts w:ascii="Times New Roman" w:hAnsi="Times New Roman" w:eastAsia="仿宋_GB2312"/>
          <w:sz w:val="32"/>
          <w:szCs w:val="32"/>
        </w:rPr>
        <w:t>《联合执法工作机制》</w:t>
      </w:r>
      <w:r>
        <w:rPr>
          <w:rFonts w:hint="eastAsia" w:ascii="Times New Roman" w:hAnsi="Times New Roman" w:eastAsia="仿宋_GB2312"/>
          <w:sz w:val="32"/>
          <w:szCs w:val="32"/>
        </w:rPr>
        <w:t>；</w:t>
      </w:r>
      <w:r>
        <w:rPr>
          <w:rFonts w:ascii="Times New Roman" w:hAnsi="Times New Roman" w:eastAsia="仿宋_GB2312"/>
          <w:sz w:val="32"/>
          <w:szCs w:val="32"/>
        </w:rPr>
        <w:t>牵头启动“川渝共护濑溪河”专项行动</w:t>
      </w:r>
      <w:r>
        <w:rPr>
          <w:rFonts w:hint="eastAsia" w:ascii="Times New Roman" w:hAnsi="Times New Roman" w:eastAsia="仿宋_GB2312"/>
          <w:sz w:val="32"/>
          <w:szCs w:val="32"/>
        </w:rPr>
        <w:t>；</w:t>
      </w:r>
      <w:r>
        <w:rPr>
          <w:rFonts w:ascii="Times New Roman" w:hAnsi="Times New Roman" w:eastAsia="仿宋_GB2312"/>
          <w:sz w:val="32"/>
          <w:szCs w:val="32"/>
        </w:rPr>
        <w:t>开展川滇联合环境执法。持续深化行刑衔接，</w:t>
      </w:r>
      <w:r>
        <w:rPr>
          <w:rFonts w:hint="eastAsia" w:ascii="Times New Roman" w:hAnsi="Times New Roman" w:eastAsia="仿宋_GB2312"/>
          <w:sz w:val="32"/>
          <w:szCs w:val="32"/>
        </w:rPr>
        <w:t>与公安厅、高法、高</w:t>
      </w:r>
      <w:r>
        <w:rPr>
          <w:rFonts w:ascii="Times New Roman" w:hAnsi="Times New Roman" w:eastAsia="仿宋_GB2312"/>
          <w:sz w:val="32"/>
          <w:szCs w:val="32"/>
        </w:rPr>
        <w:t>检联合印发《关于加强生态环境保护行政执法与司法联动协作意见》，</w:t>
      </w:r>
      <w:r>
        <w:rPr>
          <w:rFonts w:hint="eastAsia" w:ascii="Times New Roman" w:hAnsi="Times New Roman" w:eastAsia="仿宋_GB2312"/>
          <w:sz w:val="32"/>
          <w:szCs w:val="32"/>
        </w:rPr>
        <w:t>全年</w:t>
      </w:r>
      <w:r>
        <w:rPr>
          <w:rFonts w:ascii="Times New Roman" w:hAnsi="Times New Roman" w:eastAsia="仿宋_GB2312"/>
          <w:sz w:val="32"/>
          <w:szCs w:val="32"/>
        </w:rPr>
        <w:t>移送行政拘留案件60件，涉嫌环境犯罪案件8件。</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无专项预算项目，因此未组织开展项目支出绩效评价。</w:t>
      </w:r>
    </w:p>
    <w:p>
      <w:pPr>
        <w:spacing w:line="580" w:lineRule="exact"/>
        <w:ind w:firstLine="640" w:firstLineChars="200"/>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1.项目绩效目标完成情况。</w:t>
      </w:r>
      <w:r>
        <w:rPr>
          <w:rFonts w:hint="eastAsia" w:ascii="楷体_GB2312" w:hAnsi="楷体_GB2312" w:eastAsia="楷体_GB2312" w:cs="楷体_GB2312"/>
          <w:color w:val="auto"/>
          <w:sz w:val="32"/>
          <w:szCs w:val="32"/>
        </w:rPr>
        <w:br w:type="textWrapping"/>
      </w:r>
      <w:r>
        <w:rPr>
          <w:rFonts w:hint="eastAsia" w:ascii="仿宋_GB2312" w:hAnsi="仿宋_GB2312" w:eastAsia="仿宋_GB2312" w:cs="仿宋_GB2312"/>
          <w:color w:val="auto"/>
          <w:sz w:val="32"/>
          <w:szCs w:val="32"/>
        </w:rPr>
        <w:t xml:space="preserve">    本</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在20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年度部门决算中反映“信息化建设及运行维护费</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强化督查和执法专项行动经费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“聘用人员经费”</w:t>
      </w:r>
      <w:r>
        <w:rPr>
          <w:rFonts w:hint="eastAsia" w:ascii="仿宋_GB2312" w:hAnsi="仿宋_GB2312" w:eastAsia="仿宋_GB2312" w:cs="仿宋_GB2312"/>
          <w:color w:val="auto"/>
          <w:sz w:val="32"/>
          <w:szCs w:val="32"/>
          <w:lang w:eastAsia="zh-CN"/>
        </w:rPr>
        <w:t>“设备购置经费”</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个项目绩效目标实际完成情况。</w:t>
      </w:r>
    </w:p>
    <w:p>
      <w:pPr>
        <w:pStyle w:val="2"/>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 w:eastAsia="仿宋_GB2312" w:cs="宋体"/>
          <w:sz w:val="32"/>
          <w:szCs w:val="32"/>
        </w:rPr>
        <w:t>信息化建设及运行维护费</w:t>
      </w:r>
      <w:r>
        <w:rPr>
          <w:rFonts w:hint="eastAsia" w:ascii="仿宋_GB2312" w:hAnsi="仿宋" w:eastAsia="仿宋_GB2312" w:cs="仿宋_GB2312"/>
          <w:sz w:val="32"/>
          <w:szCs w:val="32"/>
        </w:rPr>
        <w:t>项目绩效目标完成情况综述：项目</w:t>
      </w:r>
      <w:r>
        <w:rPr>
          <w:rFonts w:hint="eastAsia" w:ascii="仿宋_GB2312" w:hAnsi="仿宋" w:eastAsia="仿宋_GB2312" w:cs="仿宋_GB2312"/>
          <w:color w:val="auto"/>
          <w:sz w:val="32"/>
          <w:szCs w:val="32"/>
        </w:rPr>
        <w:t>全年预算数469.47万元，执行数为374.05万元，完成预算的79.67%</w:t>
      </w:r>
      <w:r>
        <w:rPr>
          <w:rFonts w:hint="eastAsia" w:ascii="仿宋_GB2312" w:hAnsi="仿宋" w:eastAsia="仿宋_GB2312" w:cs="仿宋_GB2312"/>
          <w:color w:val="auto"/>
          <w:sz w:val="32"/>
          <w:szCs w:val="32"/>
          <w:lang w:eastAsia="zh-CN"/>
        </w:rPr>
        <w:t>，剩余资金按要求全部退回财政</w:t>
      </w:r>
      <w:r>
        <w:rPr>
          <w:rFonts w:hint="eastAsia" w:ascii="仿宋_GB2312" w:hAnsi="仿宋" w:eastAsia="仿宋_GB2312" w:cs="仿宋_GB2312"/>
          <w:color w:val="auto"/>
          <w:sz w:val="32"/>
          <w:szCs w:val="32"/>
        </w:rPr>
        <w:t>。</w:t>
      </w:r>
      <w:r>
        <w:rPr>
          <w:rFonts w:hint="eastAsia" w:ascii="仿宋_GB2312" w:hAnsi="仿宋_GB2312" w:eastAsia="仿宋_GB2312" w:cs="仿宋_GB2312"/>
          <w:color w:val="auto"/>
          <w:sz w:val="32"/>
          <w:szCs w:val="32"/>
          <w:shd w:val="clear" w:color="auto" w:fill="FFFFFF"/>
        </w:rPr>
        <w:t>主要原因</w:t>
      </w:r>
      <w:r>
        <w:rPr>
          <w:rFonts w:hint="eastAsia" w:ascii="仿宋_GB2312" w:hAnsi="仿宋_GB2312" w:eastAsia="仿宋_GB2312" w:cs="仿宋_GB2312"/>
          <w:color w:val="auto"/>
          <w:sz w:val="32"/>
          <w:szCs w:val="32"/>
        </w:rPr>
        <w:t>是信息化建设及运行维护费</w:t>
      </w:r>
      <w:r>
        <w:rPr>
          <w:rFonts w:hint="eastAsia" w:ascii="仿宋_GB2312" w:hAnsi="仿宋_GB2312" w:eastAsia="仿宋_GB2312" w:cs="仿宋_GB2312"/>
          <w:color w:val="auto"/>
          <w:sz w:val="32"/>
          <w:szCs w:val="32"/>
          <w:shd w:val="clear" w:color="auto" w:fill="FFFFFF"/>
        </w:rPr>
        <w:t>项目中重点污染源视频监控系统光纤租用中标</w:t>
      </w:r>
      <w:r>
        <w:rPr>
          <w:rFonts w:hint="eastAsia" w:ascii="仿宋_GB2312" w:hAnsi="仿宋_GB2312" w:eastAsia="仿宋_GB2312" w:cs="仿宋_GB2312"/>
          <w:color w:val="auto"/>
          <w:sz w:val="32"/>
          <w:szCs w:val="32"/>
          <w:shd w:val="clear" w:color="auto" w:fill="FFFFFF"/>
          <w:lang w:eastAsia="zh-CN"/>
        </w:rPr>
        <w:t>价低于预算数</w:t>
      </w:r>
      <w:r>
        <w:rPr>
          <w:rFonts w:hint="eastAsia" w:ascii="仿宋_GB2312" w:hAnsi="仿宋_GB2312" w:eastAsia="仿宋_GB2312" w:cs="仿宋_GB2312"/>
          <w:color w:val="auto"/>
          <w:sz w:val="32"/>
          <w:szCs w:val="32"/>
          <w:shd w:val="clear" w:color="auto" w:fill="FFFFFF"/>
        </w:rPr>
        <w:t>，结余资金94.8万元。</w:t>
      </w:r>
      <w:r>
        <w:rPr>
          <w:rFonts w:hint="eastAsia" w:ascii="仿宋_GB2312" w:hAnsi="仿宋" w:eastAsia="仿宋_GB2312" w:cs="仿宋_GB2312"/>
          <w:color w:val="auto"/>
          <w:sz w:val="32"/>
          <w:szCs w:val="32"/>
        </w:rPr>
        <w:t>通过项目实施，有效保障了全省重点污染源视频监控、自动监测系统的稳定运行，排污单位污染物排放视频监控图像和自动监测数据稳定传输至生态环境部门，为各级生态环境部门开展非现场执法监管提供支撑。进一步优化完善了移动执法系统，保障全省各级执法机构办案需求，规范行政执法行为，有效提升办案效率。项目实施过程中还存在个别功能键操作不够便捷问题。下一步改进措施：加大考核力度，强化对运维人员管理，提升服务质量，做好执法支撑保障。</w:t>
      </w:r>
    </w:p>
    <w:p>
      <w:pPr>
        <w:rPr>
          <w:rFonts w:ascii="华文仿宋" w:hAnsi="华文仿宋" w:eastAsia="华文仿宋"/>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华文仿宋" w:hAnsi="华文仿宋" w:eastAsia="华文仿宋"/>
          <w:sz w:val="32"/>
          <w:szCs w:val="32"/>
        </w:rPr>
        <w:t>“强化督查和执法专项行动经费”项目绩效目标完成情况综述。项目全年预算数</w:t>
      </w:r>
      <w:r>
        <w:rPr>
          <w:rFonts w:ascii="华文仿宋" w:hAnsi="华文仿宋" w:eastAsia="华文仿宋"/>
          <w:sz w:val="32"/>
          <w:szCs w:val="32"/>
        </w:rPr>
        <w:t>121.4</w:t>
      </w:r>
      <w:r>
        <w:rPr>
          <w:rFonts w:hint="eastAsia" w:ascii="华文仿宋" w:hAnsi="华文仿宋" w:eastAsia="华文仿宋"/>
          <w:sz w:val="32"/>
          <w:szCs w:val="32"/>
        </w:rPr>
        <w:t>万元，执行数为</w:t>
      </w:r>
      <w:r>
        <w:rPr>
          <w:rFonts w:hint="eastAsia" w:ascii="华文仿宋" w:hAnsi="华文仿宋" w:eastAsia="华文仿宋"/>
          <w:sz w:val="32"/>
          <w:szCs w:val="32"/>
          <w:lang w:val="en-US" w:eastAsia="zh-CN"/>
        </w:rPr>
        <w:t>87.89</w:t>
      </w:r>
      <w:r>
        <w:rPr>
          <w:rFonts w:hint="eastAsia" w:ascii="华文仿宋" w:hAnsi="华文仿宋" w:eastAsia="华文仿宋"/>
          <w:sz w:val="32"/>
          <w:szCs w:val="32"/>
        </w:rPr>
        <w:t>万元，完成预算的</w:t>
      </w:r>
      <w:r>
        <w:rPr>
          <w:rFonts w:hint="eastAsia" w:ascii="华文仿宋" w:hAnsi="华文仿宋" w:eastAsia="华文仿宋"/>
          <w:sz w:val="32"/>
          <w:szCs w:val="32"/>
          <w:lang w:val="en-US" w:eastAsia="zh-CN"/>
        </w:rPr>
        <w:t>72.4</w:t>
      </w:r>
      <w:r>
        <w:rPr>
          <w:rFonts w:hint="eastAsia" w:ascii="华文仿宋" w:hAnsi="华文仿宋" w:eastAsia="华文仿宋"/>
          <w:sz w:val="32"/>
          <w:szCs w:val="32"/>
        </w:rPr>
        <w:t>%</w:t>
      </w:r>
      <w:r>
        <w:rPr>
          <w:rFonts w:hint="eastAsia" w:ascii="华文仿宋" w:hAnsi="华文仿宋" w:eastAsia="华文仿宋"/>
          <w:sz w:val="32"/>
          <w:szCs w:val="32"/>
          <w:lang w:eastAsia="zh-CN"/>
        </w:rPr>
        <w:t>，</w:t>
      </w:r>
      <w:r>
        <w:rPr>
          <w:rFonts w:hint="eastAsia" w:ascii="仿宋_GB2312" w:hAnsi="仿宋" w:eastAsia="仿宋_GB2312" w:cs="仿宋_GB2312"/>
          <w:color w:val="auto"/>
          <w:sz w:val="32"/>
          <w:szCs w:val="32"/>
          <w:lang w:eastAsia="zh-CN"/>
        </w:rPr>
        <w:t>剩余资金按要求全部退回财政</w:t>
      </w:r>
      <w:r>
        <w:rPr>
          <w:rFonts w:hint="eastAsia" w:ascii="华文仿宋" w:hAnsi="华文仿宋" w:eastAsia="华文仿宋"/>
          <w:sz w:val="32"/>
          <w:szCs w:val="32"/>
        </w:rPr>
        <w:t>。</w:t>
      </w:r>
      <w:r>
        <w:rPr>
          <w:rFonts w:hint="eastAsia" w:ascii="仿宋_GB2312" w:hAnsi="宋体" w:eastAsia="仿宋_GB2312"/>
          <w:sz w:val="32"/>
          <w:szCs w:val="32"/>
        </w:rPr>
        <w:t>2020年受疫情影响，</w:t>
      </w:r>
      <w:r>
        <w:rPr>
          <w:rFonts w:hint="eastAsia" w:ascii="仿宋" w:hAnsi="仿宋" w:eastAsia="仿宋"/>
          <w:sz w:val="32"/>
          <w:szCs w:val="32"/>
        </w:rPr>
        <w:t>同时落实政府过紧日子要求，年初压减该项目经费8.76万元。</w:t>
      </w:r>
      <w:r>
        <w:rPr>
          <w:rFonts w:hint="eastAsia" w:ascii="华文仿宋" w:hAnsi="华文仿宋" w:eastAsia="华文仿宋"/>
          <w:sz w:val="32"/>
          <w:szCs w:val="32"/>
        </w:rPr>
        <w:t>通过项目实施，开展了全省</w:t>
      </w:r>
      <w:r>
        <w:rPr>
          <w:rFonts w:ascii="华文仿宋" w:hAnsi="华文仿宋" w:eastAsia="华文仿宋"/>
          <w:sz w:val="32"/>
          <w:szCs w:val="32"/>
        </w:rPr>
        <w:t>夏季臭氧帮扶和</w:t>
      </w:r>
      <w:r>
        <w:rPr>
          <w:rFonts w:hint="eastAsia" w:ascii="华文仿宋" w:hAnsi="华文仿宋" w:eastAsia="华文仿宋"/>
          <w:sz w:val="32"/>
          <w:szCs w:val="32"/>
        </w:rPr>
        <w:t>冬季</w:t>
      </w:r>
      <w:r>
        <w:rPr>
          <w:rFonts w:ascii="华文仿宋" w:hAnsi="华文仿宋" w:eastAsia="华文仿宋"/>
          <w:sz w:val="32"/>
          <w:szCs w:val="32"/>
        </w:rPr>
        <w:t>大气污染防治攻坚帮扶</w:t>
      </w:r>
      <w:r>
        <w:rPr>
          <w:rFonts w:hint="eastAsia" w:ascii="华文仿宋" w:hAnsi="华文仿宋" w:eastAsia="华文仿宋"/>
          <w:sz w:val="32"/>
          <w:szCs w:val="32"/>
        </w:rPr>
        <w:t>专项行动，</w:t>
      </w:r>
      <w:r>
        <w:rPr>
          <w:rFonts w:hint="eastAsia" w:ascii="仿宋_GB2312" w:hAnsi="仿宋_GB2312" w:eastAsia="仿宋_GB2312" w:cs="仿宋_GB2312"/>
          <w:color w:val="000000" w:themeColor="text1"/>
          <w:sz w:val="32"/>
          <w:szCs w:val="32"/>
          <w14:textFill>
            <w14:solidFill>
              <w14:schemeClr w14:val="tx1"/>
            </w14:solidFill>
          </w14:textFill>
        </w:rPr>
        <w:t>被帮扶地区大气环境质量持续好转，空气优良天数持续上升，一批突出环境问题及时得到解决，</w:t>
      </w:r>
      <w:r>
        <w:rPr>
          <w:rFonts w:hint="eastAsia" w:ascii="华文仿宋" w:hAnsi="华文仿宋" w:eastAsia="华文仿宋"/>
          <w:sz w:val="32"/>
          <w:szCs w:val="32"/>
        </w:rPr>
        <w:t>地方“党政同责、一岗双责”得到进一步夯实，执法队伍能力素质得到有效提升，</w:t>
      </w:r>
      <w:r>
        <w:rPr>
          <w:rFonts w:hint="eastAsia" w:ascii="仿宋_GB2312" w:hAnsi="仿宋_GB2312" w:eastAsia="仿宋_GB2312" w:cs="仿宋_GB2312"/>
          <w:color w:val="000000" w:themeColor="text1"/>
          <w:sz w:val="32"/>
          <w:szCs w:val="32"/>
          <w14:textFill>
            <w14:solidFill>
              <w14:schemeClr w14:val="tx1"/>
            </w14:solidFill>
          </w14:textFill>
        </w:rPr>
        <w:t>同时，按计划推进环境污染持续改善，美丽四川建设扎实推进。</w:t>
      </w:r>
      <w:r>
        <w:rPr>
          <w:rFonts w:hint="eastAsia" w:ascii="华文仿宋" w:hAnsi="华文仿宋" w:eastAsia="华文仿宋"/>
          <w:sz w:val="32"/>
          <w:szCs w:val="32"/>
        </w:rPr>
        <w:t>发现的主要问题是部分地区环境质量还有所波动。下一步，我们将继续按要求开展好该项工作。</w:t>
      </w:r>
    </w:p>
    <w:p>
      <w:pPr>
        <w:pStyle w:val="2"/>
        <w:ind w:firstLine="555"/>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宋体" w:eastAsia="仿宋_GB2312" w:cs="Times New Roman"/>
          <w:color w:val="000000" w:themeColor="text1"/>
          <w:kern w:val="2"/>
          <w:sz w:val="32"/>
          <w:szCs w:val="32"/>
          <w:lang w:val="zh-CN"/>
          <w14:textFill>
            <w14:solidFill>
              <w14:schemeClr w14:val="tx1"/>
            </w14:solidFill>
          </w14:textFill>
        </w:rPr>
        <w:t>聘用</w:t>
      </w:r>
      <w:r>
        <w:rPr>
          <w:rFonts w:ascii="仿宋_GB2312" w:hAnsi="宋体" w:eastAsia="仿宋_GB2312" w:cs="Times New Roman"/>
          <w:color w:val="000000" w:themeColor="text1"/>
          <w:kern w:val="2"/>
          <w:sz w:val="32"/>
          <w:szCs w:val="32"/>
          <w:lang w:val="zh-CN"/>
          <w14:textFill>
            <w14:solidFill>
              <w14:schemeClr w14:val="tx1"/>
            </w14:solidFill>
          </w14:textFill>
        </w:rPr>
        <w:t>人员</w:t>
      </w:r>
      <w:r>
        <w:rPr>
          <w:rFonts w:hint="eastAsia" w:ascii="仿宋_GB2312" w:hAnsi="宋体" w:eastAsia="仿宋_GB2312" w:cs="Times New Roman"/>
          <w:color w:val="000000" w:themeColor="text1"/>
          <w:kern w:val="2"/>
          <w:sz w:val="32"/>
          <w:szCs w:val="32"/>
          <w:lang w:val="zh-CN"/>
          <w14:textFill>
            <w14:solidFill>
              <w14:schemeClr w14:val="tx1"/>
            </w14:solidFill>
          </w14:textFill>
        </w:rPr>
        <w:t>项目绩效目标完成情况综述。项目全年预算数</w:t>
      </w:r>
      <w:r>
        <w:rPr>
          <w:rFonts w:ascii="仿宋_GB2312" w:hAnsi="宋体" w:eastAsia="仿宋_GB2312" w:cs="Times New Roman"/>
          <w:color w:val="000000" w:themeColor="text1"/>
          <w:kern w:val="2"/>
          <w:sz w:val="32"/>
          <w:szCs w:val="32"/>
          <w:lang w:val="zh-CN"/>
          <w14:textFill>
            <w14:solidFill>
              <w14:schemeClr w14:val="tx1"/>
            </w14:solidFill>
          </w14:textFill>
        </w:rPr>
        <w:t>110</w:t>
      </w:r>
      <w:r>
        <w:rPr>
          <w:rFonts w:hint="eastAsia" w:ascii="仿宋_GB2312" w:hAnsi="宋体" w:eastAsia="仿宋_GB2312" w:cs="Times New Roman"/>
          <w:color w:val="000000" w:themeColor="text1"/>
          <w:kern w:val="2"/>
          <w:sz w:val="32"/>
          <w:szCs w:val="32"/>
          <w:lang w:val="zh-CN"/>
          <w14:textFill>
            <w14:solidFill>
              <w14:schemeClr w14:val="tx1"/>
            </w14:solidFill>
          </w14:textFill>
        </w:rPr>
        <w:t>万元，执行数为</w:t>
      </w:r>
      <w:r>
        <w:rPr>
          <w:rFonts w:ascii="仿宋_GB2312" w:hAnsi="宋体" w:eastAsia="仿宋_GB2312" w:cs="Times New Roman"/>
          <w:color w:val="000000" w:themeColor="text1"/>
          <w:kern w:val="2"/>
          <w:sz w:val="32"/>
          <w:szCs w:val="32"/>
          <w:lang w:val="zh-CN"/>
          <w14:textFill>
            <w14:solidFill>
              <w14:schemeClr w14:val="tx1"/>
            </w14:solidFill>
          </w14:textFill>
        </w:rPr>
        <w:t>90</w:t>
      </w:r>
      <w:r>
        <w:rPr>
          <w:rFonts w:hint="eastAsia" w:ascii="仿宋_GB2312" w:hAnsi="宋体" w:eastAsia="仿宋_GB2312" w:cs="Times New Roman"/>
          <w:color w:val="000000" w:themeColor="text1"/>
          <w:kern w:val="2"/>
          <w:sz w:val="32"/>
          <w:szCs w:val="32"/>
          <w:lang w:val="zh-CN"/>
          <w14:textFill>
            <w14:solidFill>
              <w14:schemeClr w14:val="tx1"/>
            </w14:solidFill>
          </w14:textFill>
        </w:rPr>
        <w:t>万元，完成预算的</w:t>
      </w:r>
      <w:r>
        <w:rPr>
          <w:rFonts w:ascii="仿宋_GB2312" w:hAnsi="宋体" w:eastAsia="仿宋_GB2312" w:cs="Times New Roman"/>
          <w:color w:val="000000" w:themeColor="text1"/>
          <w:kern w:val="2"/>
          <w:sz w:val="32"/>
          <w:szCs w:val="32"/>
          <w:lang w:val="zh-CN"/>
          <w14:textFill>
            <w14:solidFill>
              <w14:schemeClr w14:val="tx1"/>
            </w14:solidFill>
          </w14:textFill>
        </w:rPr>
        <w:t>81.81</w:t>
      </w:r>
      <w:r>
        <w:rPr>
          <w:rFonts w:hint="eastAsia" w:ascii="仿宋_GB2312" w:hAnsi="宋体" w:eastAsia="仿宋_GB2312" w:cs="Times New Roman"/>
          <w:color w:val="000000" w:themeColor="text1"/>
          <w:kern w:val="2"/>
          <w:sz w:val="32"/>
          <w:szCs w:val="32"/>
          <w:lang w:val="zh-CN"/>
          <w14:textFill>
            <w14:solidFill>
              <w14:schemeClr w14:val="tx1"/>
            </w14:solidFill>
          </w14:textFill>
        </w:rPr>
        <w:t>%。通过项目实施，在提升环境</w:t>
      </w:r>
      <w:r>
        <w:rPr>
          <w:rFonts w:ascii="仿宋_GB2312" w:hAnsi="宋体" w:eastAsia="仿宋_GB2312" w:cs="Times New Roman"/>
          <w:color w:val="000000" w:themeColor="text1"/>
          <w:kern w:val="2"/>
          <w:sz w:val="32"/>
          <w:szCs w:val="32"/>
          <w:lang w:val="zh-CN"/>
          <w14:textFill>
            <w14:solidFill>
              <w14:schemeClr w14:val="tx1"/>
            </w14:solidFill>
          </w14:textFill>
        </w:rPr>
        <w:t>违法案件的查处</w:t>
      </w:r>
      <w:r>
        <w:rPr>
          <w:rFonts w:hint="eastAsia" w:ascii="仿宋_GB2312" w:hAnsi="宋体" w:eastAsia="仿宋_GB2312" w:cs="Times New Roman"/>
          <w:color w:val="000000" w:themeColor="text1"/>
          <w:kern w:val="2"/>
          <w:sz w:val="32"/>
          <w:szCs w:val="32"/>
          <w:lang w:val="zh-CN"/>
          <w14:textFill>
            <w14:solidFill>
              <w14:schemeClr w14:val="tx1"/>
            </w14:solidFill>
          </w14:textFill>
        </w:rPr>
        <w:t>效率</w:t>
      </w:r>
      <w:r>
        <w:rPr>
          <w:rFonts w:ascii="仿宋_GB2312" w:hAnsi="宋体" w:eastAsia="仿宋_GB2312" w:cs="Times New Roman"/>
          <w:color w:val="000000" w:themeColor="text1"/>
          <w:kern w:val="2"/>
          <w:sz w:val="32"/>
          <w:szCs w:val="32"/>
          <w:lang w:val="zh-CN"/>
          <w14:textFill>
            <w14:solidFill>
              <w14:schemeClr w14:val="tx1"/>
            </w14:solidFill>
          </w14:textFill>
        </w:rPr>
        <w:t>上</w:t>
      </w:r>
      <w:r>
        <w:rPr>
          <w:rFonts w:hint="eastAsia" w:ascii="仿宋_GB2312" w:hAnsi="宋体" w:eastAsia="仿宋_GB2312" w:cs="Times New Roman"/>
          <w:color w:val="000000" w:themeColor="text1"/>
          <w:kern w:val="2"/>
          <w:sz w:val="32"/>
          <w:szCs w:val="32"/>
          <w:lang w:val="zh-CN"/>
          <w14:textFill>
            <w14:solidFill>
              <w14:schemeClr w14:val="tx1"/>
            </w14:solidFill>
          </w14:textFill>
        </w:rPr>
        <w:t>发挥重要作用，上半年，省执法总队查办环境违法案件数同比上升140%。发现的主要问题：聘用人员的管理和激励</w:t>
      </w:r>
      <w:r>
        <w:rPr>
          <w:rFonts w:ascii="仿宋_GB2312" w:hAnsi="宋体" w:eastAsia="仿宋_GB2312" w:cs="Times New Roman"/>
          <w:color w:val="000000" w:themeColor="text1"/>
          <w:kern w:val="2"/>
          <w:sz w:val="32"/>
          <w:szCs w:val="32"/>
          <w:lang w:val="zh-CN"/>
          <w14:textFill>
            <w14:solidFill>
              <w14:schemeClr w14:val="tx1"/>
            </w14:solidFill>
          </w14:textFill>
        </w:rPr>
        <w:t>机制</w:t>
      </w:r>
      <w:r>
        <w:rPr>
          <w:rFonts w:hint="eastAsia" w:ascii="仿宋_GB2312" w:hAnsi="宋体" w:eastAsia="仿宋_GB2312" w:cs="Times New Roman"/>
          <w:color w:val="000000" w:themeColor="text1"/>
          <w:kern w:val="2"/>
          <w:sz w:val="32"/>
          <w:szCs w:val="32"/>
          <w:lang w:val="zh-CN"/>
          <w14:textFill>
            <w14:solidFill>
              <w14:schemeClr w14:val="tx1"/>
            </w14:solidFill>
          </w14:textFill>
        </w:rPr>
        <w:t>不够精细。下一步改进措施：修订聘用</w:t>
      </w:r>
      <w:r>
        <w:rPr>
          <w:rFonts w:ascii="仿宋_GB2312" w:hAnsi="宋体" w:eastAsia="仿宋_GB2312" w:cs="Times New Roman"/>
          <w:color w:val="000000" w:themeColor="text1"/>
          <w:kern w:val="2"/>
          <w:sz w:val="32"/>
          <w:szCs w:val="32"/>
          <w:lang w:val="zh-CN"/>
          <w14:textFill>
            <w14:solidFill>
              <w14:schemeClr w14:val="tx1"/>
            </w14:solidFill>
          </w14:textFill>
        </w:rPr>
        <w:t>人员管理办法，</w:t>
      </w:r>
      <w:r>
        <w:rPr>
          <w:rFonts w:hint="eastAsia" w:ascii="仿宋_GB2312" w:hAnsi="宋体" w:eastAsia="仿宋_GB2312" w:cs="Times New Roman"/>
          <w:color w:val="000000" w:themeColor="text1"/>
          <w:kern w:val="2"/>
          <w:sz w:val="32"/>
          <w:szCs w:val="32"/>
          <w:lang w:val="zh-CN"/>
          <w14:textFill>
            <w14:solidFill>
              <w14:schemeClr w14:val="tx1"/>
            </w14:solidFill>
          </w14:textFill>
        </w:rPr>
        <w:t>加强</w:t>
      </w:r>
      <w:r>
        <w:rPr>
          <w:rFonts w:ascii="仿宋_GB2312" w:hAnsi="宋体" w:eastAsia="仿宋_GB2312" w:cs="Times New Roman"/>
          <w:color w:val="000000" w:themeColor="text1"/>
          <w:kern w:val="2"/>
          <w:sz w:val="32"/>
          <w:szCs w:val="32"/>
          <w:lang w:val="zh-CN"/>
          <w14:textFill>
            <w14:solidFill>
              <w14:schemeClr w14:val="tx1"/>
            </w14:solidFill>
          </w14:textFill>
        </w:rPr>
        <w:t>考核、激发动能</w:t>
      </w:r>
      <w:r>
        <w:rPr>
          <w:rFonts w:hint="eastAsia" w:ascii="仿宋_GB2312" w:hAnsi="宋体" w:eastAsia="仿宋_GB2312" w:cs="Times New Roman"/>
          <w:color w:val="000000" w:themeColor="text1"/>
          <w:kern w:val="2"/>
          <w:sz w:val="32"/>
          <w:szCs w:val="32"/>
          <w:lang w:val="zh-CN"/>
          <w14:textFill>
            <w14:solidFill>
              <w14:schemeClr w14:val="tx1"/>
            </w14:solidFill>
          </w14:textFill>
        </w:rPr>
        <w:t>。</w:t>
      </w:r>
    </w:p>
    <w:p>
      <w:pPr>
        <w:pStyle w:val="2"/>
        <w:ind w:firstLine="160" w:firstLineChars="50"/>
        <w:rPr>
          <w:rFonts w:hint="eastAsia" w:ascii="仿宋_GB2312" w:hAnsi="宋体" w:eastAsia="仿宋_GB2312" w:cs="Times New Roman"/>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宋体" w:eastAsia="仿宋_GB2312" w:cs="Times New Roman"/>
          <w:color w:val="000000" w:themeColor="text1"/>
          <w:kern w:val="2"/>
          <w:sz w:val="32"/>
          <w:szCs w:val="32"/>
          <w14:textFill>
            <w14:solidFill>
              <w14:schemeClr w14:val="tx1"/>
            </w14:solidFill>
          </w14:textFill>
        </w:rPr>
        <w:t>设备</w:t>
      </w:r>
      <w:r>
        <w:rPr>
          <w:rFonts w:ascii="仿宋_GB2312" w:hAnsi="宋体" w:eastAsia="仿宋_GB2312" w:cs="Times New Roman"/>
          <w:color w:val="000000" w:themeColor="text1"/>
          <w:kern w:val="2"/>
          <w:sz w:val="32"/>
          <w:szCs w:val="32"/>
          <w14:textFill>
            <w14:solidFill>
              <w14:schemeClr w14:val="tx1"/>
            </w14:solidFill>
          </w14:textFill>
        </w:rPr>
        <w:t>购置</w:t>
      </w:r>
      <w:r>
        <w:rPr>
          <w:rFonts w:hint="eastAsia" w:ascii="仿宋_GB2312" w:hAnsi="宋体" w:eastAsia="仿宋_GB2312" w:cs="Times New Roman"/>
          <w:color w:val="000000" w:themeColor="text1"/>
          <w:kern w:val="2"/>
          <w:sz w:val="32"/>
          <w:szCs w:val="32"/>
          <w14:textFill>
            <w14:solidFill>
              <w14:schemeClr w14:val="tx1"/>
            </w14:solidFill>
          </w14:textFill>
        </w:rPr>
        <w:t>项目绩效目标完成情况综述。项目全年预算数</w:t>
      </w:r>
      <w:r>
        <w:rPr>
          <w:rFonts w:ascii="仿宋_GB2312" w:hAnsi="宋体" w:eastAsia="仿宋_GB2312" w:cs="Times New Roman"/>
          <w:color w:val="000000" w:themeColor="text1"/>
          <w:kern w:val="2"/>
          <w:sz w:val="32"/>
          <w:szCs w:val="32"/>
          <w14:textFill>
            <w14:solidFill>
              <w14:schemeClr w14:val="tx1"/>
            </w14:solidFill>
          </w14:textFill>
        </w:rPr>
        <w:t>395.73</w:t>
      </w:r>
      <w:r>
        <w:rPr>
          <w:rFonts w:hint="eastAsia" w:ascii="仿宋_GB2312" w:hAnsi="宋体" w:eastAsia="仿宋_GB2312" w:cs="Times New Roman"/>
          <w:color w:val="000000" w:themeColor="text1"/>
          <w:kern w:val="2"/>
          <w:sz w:val="32"/>
          <w:szCs w:val="32"/>
          <w14:textFill>
            <w14:solidFill>
              <w14:schemeClr w14:val="tx1"/>
            </w14:solidFill>
          </w14:textFill>
        </w:rPr>
        <w:t>万元，执行数为</w:t>
      </w:r>
      <w:r>
        <w:rPr>
          <w:rFonts w:ascii="仿宋_GB2312" w:hAnsi="宋体" w:eastAsia="仿宋_GB2312" w:cs="Times New Roman"/>
          <w:color w:val="000000" w:themeColor="text1"/>
          <w:kern w:val="2"/>
          <w:sz w:val="32"/>
          <w:szCs w:val="32"/>
          <w14:textFill>
            <w14:solidFill>
              <w14:schemeClr w14:val="tx1"/>
            </w14:solidFill>
          </w14:textFill>
        </w:rPr>
        <w:t>371.6</w:t>
      </w:r>
      <w:r>
        <w:rPr>
          <w:rFonts w:hint="eastAsia" w:ascii="仿宋_GB2312" w:hAnsi="宋体" w:eastAsia="仿宋_GB2312" w:cs="Times New Roman"/>
          <w:color w:val="000000" w:themeColor="text1"/>
          <w:kern w:val="2"/>
          <w:sz w:val="32"/>
          <w:szCs w:val="32"/>
          <w14:textFill>
            <w14:solidFill>
              <w14:schemeClr w14:val="tx1"/>
            </w14:solidFill>
          </w14:textFill>
        </w:rPr>
        <w:t>万元，完成预算的</w:t>
      </w:r>
      <w:r>
        <w:rPr>
          <w:rFonts w:ascii="仿宋_GB2312" w:hAnsi="宋体" w:eastAsia="仿宋_GB2312" w:cs="Times New Roman"/>
          <w:color w:val="000000" w:themeColor="text1"/>
          <w:kern w:val="2"/>
          <w:sz w:val="32"/>
          <w:szCs w:val="32"/>
          <w14:textFill>
            <w14:solidFill>
              <w14:schemeClr w14:val="tx1"/>
            </w14:solidFill>
          </w14:textFill>
        </w:rPr>
        <w:t>93.9</w:t>
      </w:r>
      <w:r>
        <w:rPr>
          <w:rFonts w:hint="eastAsia" w:ascii="仿宋_GB2312" w:hAnsi="宋体" w:eastAsia="仿宋_GB2312" w:cs="Times New Roman"/>
          <w:color w:val="000000" w:themeColor="text1"/>
          <w:kern w:val="2"/>
          <w:sz w:val="32"/>
          <w:szCs w:val="32"/>
          <w14:textFill>
            <w14:solidFill>
              <w14:schemeClr w14:val="tx1"/>
            </w14:solidFill>
          </w14:textFill>
        </w:rPr>
        <w:t>%。通过项目实施，</w:t>
      </w:r>
      <w:r>
        <w:rPr>
          <w:rFonts w:ascii="仿宋_GB2312" w:hAnsi="宋体" w:eastAsia="仿宋_GB2312" w:cs="Times New Roman"/>
          <w:color w:val="000000" w:themeColor="text1"/>
          <w:kern w:val="2"/>
          <w:sz w:val="32"/>
          <w:szCs w:val="32"/>
          <w14:textFill>
            <w14:solidFill>
              <w14:schemeClr w14:val="tx1"/>
            </w14:solidFill>
          </w14:textFill>
        </w:rPr>
        <w:t>在</w:t>
      </w:r>
      <w:r>
        <w:rPr>
          <w:rFonts w:hint="eastAsia" w:ascii="仿宋_GB2312" w:hAnsi="宋体" w:eastAsia="仿宋_GB2312" w:cs="Times New Roman"/>
          <w:color w:val="000000" w:themeColor="text1"/>
          <w:kern w:val="2"/>
          <w:sz w:val="32"/>
          <w:szCs w:val="32"/>
          <w14:textFill>
            <w14:solidFill>
              <w14:schemeClr w14:val="tx1"/>
            </w14:solidFill>
          </w14:textFill>
        </w:rPr>
        <w:t>帮助</w:t>
      </w:r>
      <w:r>
        <w:rPr>
          <w:rFonts w:ascii="仿宋_GB2312" w:hAnsi="宋体" w:eastAsia="仿宋_GB2312" w:cs="Times New Roman"/>
          <w:color w:val="000000" w:themeColor="text1"/>
          <w:kern w:val="2"/>
          <w:sz w:val="32"/>
          <w:szCs w:val="32"/>
          <w14:textFill>
            <w14:solidFill>
              <w14:schemeClr w14:val="tx1"/>
            </w14:solidFill>
          </w14:textFill>
        </w:rPr>
        <w:t>执法人员精准打击环境违法行为方面发挥</w:t>
      </w:r>
      <w:r>
        <w:rPr>
          <w:rFonts w:hint="eastAsia" w:ascii="仿宋_GB2312" w:hAnsi="宋体" w:eastAsia="仿宋_GB2312" w:cs="Times New Roman"/>
          <w:color w:val="000000" w:themeColor="text1"/>
          <w:kern w:val="2"/>
          <w:sz w:val="32"/>
          <w:szCs w:val="32"/>
          <w14:textFill>
            <w14:solidFill>
              <w14:schemeClr w14:val="tx1"/>
            </w14:solidFill>
          </w14:textFill>
        </w:rPr>
        <w:t>重要作用，上半年，省执法总队查办环境违法案件数同比上升140%，处罚金额同比上升210%。发现的主要问题：执法设备升级</w:t>
      </w:r>
      <w:r>
        <w:rPr>
          <w:rFonts w:ascii="仿宋_GB2312" w:hAnsi="宋体" w:eastAsia="仿宋_GB2312" w:cs="Times New Roman"/>
          <w:color w:val="000000" w:themeColor="text1"/>
          <w:kern w:val="2"/>
          <w:sz w:val="32"/>
          <w:szCs w:val="32"/>
          <w14:textFill>
            <w14:solidFill>
              <w14:schemeClr w14:val="tx1"/>
            </w14:solidFill>
          </w14:textFill>
        </w:rPr>
        <w:t>换代较快</w:t>
      </w:r>
      <w:r>
        <w:rPr>
          <w:rFonts w:hint="eastAsia" w:ascii="仿宋_GB2312" w:hAnsi="宋体" w:eastAsia="仿宋_GB2312" w:cs="Times New Roman"/>
          <w:color w:val="000000" w:themeColor="text1"/>
          <w:kern w:val="2"/>
          <w:sz w:val="32"/>
          <w:szCs w:val="32"/>
          <w14:textFill>
            <w14:solidFill>
              <w14:schemeClr w14:val="tx1"/>
            </w14:solidFill>
          </w14:textFill>
        </w:rPr>
        <w:t>。下一步改进措施：加强学习</w:t>
      </w:r>
      <w:r>
        <w:rPr>
          <w:rFonts w:ascii="仿宋_GB2312" w:hAnsi="宋体" w:eastAsia="仿宋_GB2312" w:cs="Times New Roman"/>
          <w:color w:val="000000" w:themeColor="text1"/>
          <w:kern w:val="2"/>
          <w:sz w:val="32"/>
          <w:szCs w:val="32"/>
          <w14:textFill>
            <w14:solidFill>
              <w14:schemeClr w14:val="tx1"/>
            </w14:solidFill>
          </w14:textFill>
        </w:rPr>
        <w:t>研究，紧跟科技进步步伐。</w:t>
      </w:r>
    </w:p>
    <w:p>
      <w:pPr>
        <w:spacing w:line="580" w:lineRule="exact"/>
        <w:ind w:firstLine="640" w:firstLineChars="200"/>
        <w:rPr>
          <w:rFonts w:ascii="仿宋_GB2312" w:hAnsi="仿宋_GB2312" w:eastAsia="仿宋_GB2312" w:cs="仿宋_GB2312"/>
          <w:color w:val="auto"/>
          <w:sz w:val="32"/>
          <w:szCs w:val="32"/>
        </w:rPr>
      </w:pPr>
    </w:p>
    <w:tbl>
      <w:tblPr>
        <w:tblStyle w:val="17"/>
        <w:tblpPr w:leftFromText="180" w:rightFromText="180" w:vertAnchor="text" w:horzAnchor="page" w:tblpXSpec="center" w:tblpY="423"/>
        <w:tblOverlap w:val="never"/>
        <w:tblW w:w="9540" w:type="dxa"/>
        <w:jc w:val="center"/>
        <w:tblInd w:w="0" w:type="dxa"/>
        <w:tblLayout w:type="fixed"/>
        <w:tblCellMar>
          <w:top w:w="0" w:type="dxa"/>
          <w:left w:w="0" w:type="dxa"/>
          <w:bottom w:w="0" w:type="dxa"/>
          <w:right w:w="0" w:type="dxa"/>
        </w:tblCellMar>
      </w:tblPr>
      <w:tblGrid>
        <w:gridCol w:w="374"/>
        <w:gridCol w:w="1309"/>
        <w:gridCol w:w="982"/>
        <w:gridCol w:w="1690"/>
        <w:gridCol w:w="601"/>
        <w:gridCol w:w="2055"/>
        <w:gridCol w:w="238"/>
        <w:gridCol w:w="2291"/>
      </w:tblGrid>
      <w:tr>
        <w:tblPrEx>
          <w:tblLayout w:type="fixed"/>
          <w:tblCellMar>
            <w:top w:w="0" w:type="dxa"/>
            <w:left w:w="0" w:type="dxa"/>
            <w:bottom w:w="0" w:type="dxa"/>
            <w:right w:w="0" w:type="dxa"/>
          </w:tblCellMar>
        </w:tblPrEx>
        <w:trPr>
          <w:trHeight w:val="1236" w:hRule="atLeast"/>
          <w:jc w:val="center"/>
        </w:trPr>
        <w:tc>
          <w:tcPr>
            <w:tcW w:w="9540" w:type="dxa"/>
            <w:gridSpan w:val="8"/>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Layout w:type="fixed"/>
          <w:tblCellMar>
            <w:top w:w="0" w:type="dxa"/>
            <w:left w:w="0" w:type="dxa"/>
            <w:bottom w:w="0" w:type="dxa"/>
            <w:right w:w="0" w:type="dxa"/>
          </w:tblCellMar>
        </w:tblPrEx>
        <w:trPr>
          <w:trHeight w:val="330"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项目名称</w:t>
            </w:r>
          </w:p>
        </w:tc>
        <w:tc>
          <w:tcPr>
            <w:tcW w:w="68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信息化建设及运行维护费</w:t>
            </w:r>
          </w:p>
        </w:tc>
      </w:tr>
      <w:tr>
        <w:tblPrEx>
          <w:tblLayout w:type="fixed"/>
          <w:tblCellMar>
            <w:top w:w="0" w:type="dxa"/>
            <w:left w:w="0" w:type="dxa"/>
            <w:bottom w:w="0" w:type="dxa"/>
            <w:right w:w="0" w:type="dxa"/>
          </w:tblCellMar>
        </w:tblPrEx>
        <w:trPr>
          <w:trHeight w:val="330" w:hRule="atLeast"/>
          <w:jc w:val="center"/>
        </w:trPr>
        <w:tc>
          <w:tcPr>
            <w:tcW w:w="266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预算单位</w:t>
            </w:r>
          </w:p>
        </w:tc>
        <w:tc>
          <w:tcPr>
            <w:tcW w:w="687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1200" w:firstLineChars="500"/>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四川省生态环境保护综合行政执法总队</w:t>
            </w:r>
          </w:p>
        </w:tc>
      </w:tr>
      <w:tr>
        <w:tblPrEx>
          <w:tblLayout w:type="fixed"/>
          <w:tblCellMar>
            <w:top w:w="0" w:type="dxa"/>
            <w:left w:w="0" w:type="dxa"/>
            <w:bottom w:w="0" w:type="dxa"/>
            <w:right w:w="0" w:type="dxa"/>
          </w:tblCellMar>
        </w:tblPrEx>
        <w:trPr>
          <w:trHeight w:val="330" w:hRule="atLeast"/>
          <w:jc w:val="center"/>
        </w:trPr>
        <w:tc>
          <w:tcPr>
            <w:tcW w:w="3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预算执行情况(万元)</w:t>
            </w:r>
          </w:p>
        </w:tc>
        <w:tc>
          <w:tcPr>
            <w:tcW w:w="22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预算数:</w:t>
            </w:r>
          </w:p>
        </w:tc>
        <w:tc>
          <w:tcPr>
            <w:tcW w:w="22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469.47</w:t>
            </w:r>
          </w:p>
        </w:tc>
        <w:tc>
          <w:tcPr>
            <w:tcW w:w="22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执行数:</w:t>
            </w:r>
          </w:p>
        </w:tc>
        <w:tc>
          <w:tcPr>
            <w:tcW w:w="2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374.05</w:t>
            </w:r>
          </w:p>
        </w:tc>
      </w:tr>
      <w:tr>
        <w:tblPrEx>
          <w:tblLayout w:type="fixed"/>
          <w:tblCellMar>
            <w:top w:w="0" w:type="dxa"/>
            <w:left w:w="0" w:type="dxa"/>
            <w:bottom w:w="0" w:type="dxa"/>
            <w:right w:w="0" w:type="dxa"/>
          </w:tblCellMar>
        </w:tblPrEx>
        <w:trPr>
          <w:trHeight w:val="330" w:hRule="atLeast"/>
          <w:jc w:val="center"/>
        </w:trPr>
        <w:tc>
          <w:tcPr>
            <w:tcW w:w="3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22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其中-财政拨款:</w:t>
            </w:r>
          </w:p>
        </w:tc>
        <w:tc>
          <w:tcPr>
            <w:tcW w:w="22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469.47</w:t>
            </w:r>
          </w:p>
        </w:tc>
        <w:tc>
          <w:tcPr>
            <w:tcW w:w="22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其中-财政拨款:</w:t>
            </w:r>
          </w:p>
        </w:tc>
        <w:tc>
          <w:tcPr>
            <w:tcW w:w="2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374.05</w:t>
            </w:r>
          </w:p>
        </w:tc>
      </w:tr>
      <w:tr>
        <w:tblPrEx>
          <w:tblLayout w:type="fixed"/>
          <w:tblCellMar>
            <w:top w:w="0" w:type="dxa"/>
            <w:left w:w="0" w:type="dxa"/>
            <w:bottom w:w="0" w:type="dxa"/>
            <w:right w:w="0" w:type="dxa"/>
          </w:tblCellMar>
        </w:tblPrEx>
        <w:trPr>
          <w:trHeight w:val="1807" w:hRule="atLeast"/>
          <w:jc w:val="center"/>
        </w:trPr>
        <w:tc>
          <w:tcPr>
            <w:tcW w:w="3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22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其它资金:</w:t>
            </w:r>
          </w:p>
        </w:tc>
        <w:tc>
          <w:tcPr>
            <w:tcW w:w="22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2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其它资金:</w:t>
            </w:r>
          </w:p>
        </w:tc>
        <w:tc>
          <w:tcPr>
            <w:tcW w:w="2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Layout w:type="fixed"/>
          <w:tblCellMar>
            <w:top w:w="0" w:type="dxa"/>
            <w:left w:w="0" w:type="dxa"/>
            <w:bottom w:w="0" w:type="dxa"/>
            <w:right w:w="0" w:type="dxa"/>
          </w:tblCellMar>
        </w:tblPrEx>
        <w:trPr>
          <w:trHeight w:val="330" w:hRule="atLeast"/>
          <w:jc w:val="center"/>
        </w:trPr>
        <w:tc>
          <w:tcPr>
            <w:tcW w:w="37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年度目标完成情况</w:t>
            </w:r>
          </w:p>
        </w:tc>
        <w:tc>
          <w:tcPr>
            <w:tcW w:w="45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45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实际完成目标</w:t>
            </w:r>
          </w:p>
        </w:tc>
      </w:tr>
      <w:tr>
        <w:tblPrEx>
          <w:tblLayout w:type="fixed"/>
          <w:tblCellMar>
            <w:top w:w="0" w:type="dxa"/>
            <w:left w:w="0" w:type="dxa"/>
            <w:bottom w:w="0" w:type="dxa"/>
            <w:right w:w="0" w:type="dxa"/>
          </w:tblCellMar>
        </w:tblPrEx>
        <w:trPr>
          <w:trHeight w:val="2771" w:hRule="atLeast"/>
          <w:jc w:val="center"/>
        </w:trPr>
        <w:tc>
          <w:tcPr>
            <w:tcW w:w="37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58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通过实施重点污染源视频监控系统光纤租用、重点污染源视频监控系统运行维护费、重点污染源自动监控数据维护及软件优化、移动执法系统优化及技术支撑服务，确保我省已安装视频监控设备的重点污染源正常稳定传输，保障重点污染源自动监控数据有效传输率90%以上，保障移动执法系统正常运行，提升全省自动监控数据质量，提高全省环境监察业务信息化程度，提高执法效率。</w:t>
            </w:r>
          </w:p>
        </w:tc>
        <w:tc>
          <w:tcPr>
            <w:tcW w:w="45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重点污染源视频监控能正常稳定传输，移动执法系统正常运行，重点污染源自动监控数据有效传输率95%以上，有效提升全省自动监控数据质量，进一步提升全省环境监察业务信息化程度，提高执法效率。</w:t>
            </w:r>
          </w:p>
        </w:tc>
      </w:tr>
      <w:tr>
        <w:tblPrEx>
          <w:tblLayout w:type="fixed"/>
          <w:tblCellMar>
            <w:top w:w="0" w:type="dxa"/>
            <w:left w:w="0" w:type="dxa"/>
            <w:bottom w:w="0" w:type="dxa"/>
            <w:right w:w="0" w:type="dxa"/>
          </w:tblCellMar>
        </w:tblPrEx>
        <w:trPr>
          <w:trHeight w:val="1044" w:hRule="atLeast"/>
          <w:jc w:val="center"/>
        </w:trPr>
        <w:tc>
          <w:tcPr>
            <w:tcW w:w="374"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绩效指标完成情况</w:t>
            </w: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一级指标</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二级指标</w:t>
            </w:r>
          </w:p>
        </w:tc>
        <w:tc>
          <w:tcPr>
            <w:tcW w:w="229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三级指标</w:t>
            </w:r>
          </w:p>
        </w:tc>
        <w:tc>
          <w:tcPr>
            <w:tcW w:w="229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预期指标值(包含数字及文字描述)</w:t>
            </w:r>
          </w:p>
        </w:tc>
        <w:tc>
          <w:tcPr>
            <w:tcW w:w="22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实际完成指标值(包含数字及文字描述)</w:t>
            </w:r>
          </w:p>
        </w:tc>
      </w:tr>
      <w:tr>
        <w:tblPrEx>
          <w:tblLayout w:type="fixed"/>
          <w:tblCellMar>
            <w:top w:w="0" w:type="dxa"/>
            <w:left w:w="0" w:type="dxa"/>
            <w:bottom w:w="0" w:type="dxa"/>
            <w:right w:w="0" w:type="dxa"/>
          </w:tblCellMar>
        </w:tblPrEx>
        <w:trPr>
          <w:trHeight w:val="3992" w:hRule="atLeast"/>
          <w:jc w:val="center"/>
        </w:trPr>
        <w:tc>
          <w:tcPr>
            <w:tcW w:w="37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项目完成指标</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保障视频监控系统运行家数；保障自动监控数据采集上传企业数；使用执法系统的全省各级环境执法机构数</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确保我省安装了视频监控的400家重点污染源排放等视频图像数据稳定传输至市（州）监控平台；确保我省2016年建设的96家重点污染源视频监控设备的国控重点污染源正常稳定传输。保障约1000家重点污染源的自动监控数据正常传输，为各级生态环境部门提供智能监管手段；</w:t>
            </w:r>
            <w:r>
              <w:rPr>
                <w:rFonts w:hint="eastAsia" w:ascii="仿宋_GB2312" w:hAnsi="仿宋_GB2312" w:eastAsia="仿宋_GB2312" w:cs="仿宋_GB2312"/>
                <w:sz w:val="24"/>
                <w:szCs w:val="24"/>
                <w:lang w:eastAsia="zh-CN"/>
              </w:rPr>
              <w:t>保障</w:t>
            </w:r>
            <w:r>
              <w:rPr>
                <w:rFonts w:hint="eastAsia" w:ascii="仿宋_GB2312" w:hAnsi="仿宋_GB2312" w:eastAsia="仿宋_GB2312" w:cs="仿宋_GB2312"/>
                <w:sz w:val="24"/>
                <w:szCs w:val="24"/>
              </w:rPr>
              <w:t>省本级和20个市（州）、163个县（市、区）执法机构的执法人员顺利使用移动执法系统。</w:t>
            </w:r>
          </w:p>
        </w:tc>
        <w:tc>
          <w:tcPr>
            <w:tcW w:w="2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保障</w:t>
            </w:r>
            <w:r>
              <w:rPr>
                <w:rFonts w:hint="eastAsia" w:ascii="仿宋_GB2312" w:hAnsi="仿宋_GB2312" w:eastAsia="仿宋_GB2312" w:cs="仿宋_GB2312"/>
                <w:sz w:val="24"/>
                <w:szCs w:val="24"/>
              </w:rPr>
              <w:t>重点污染源排放等视频图像数据稳定传输至市（州）监控平台；保障我省2016年建设的90家重点污染源视频监控设备的国控重点污染源正常稳定传输，占比93.75%，以及15个市州系统正常运行。2020年全省</w:t>
            </w:r>
            <w:r>
              <w:rPr>
                <w:rFonts w:hint="eastAsia" w:ascii="仿宋_GB2312" w:hAnsi="仿宋_GB2312" w:eastAsia="仿宋_GB2312" w:cs="仿宋_GB2312"/>
                <w:sz w:val="24"/>
                <w:szCs w:val="24"/>
                <w:lang w:eastAsia="zh-CN"/>
              </w:rPr>
              <w:t>自动监测数据</w:t>
            </w:r>
            <w:r>
              <w:rPr>
                <w:rFonts w:hint="eastAsia" w:ascii="仿宋_GB2312" w:hAnsi="仿宋_GB2312" w:eastAsia="仿宋_GB2312" w:cs="仿宋_GB2312"/>
                <w:sz w:val="24"/>
                <w:szCs w:val="24"/>
              </w:rPr>
              <w:t>传输率</w:t>
            </w:r>
            <w:r>
              <w:rPr>
                <w:rFonts w:hint="eastAsia" w:ascii="仿宋_GB2312" w:hAnsi="仿宋_GB2312" w:eastAsia="仿宋_GB2312" w:cs="仿宋_GB2312"/>
                <w:sz w:val="24"/>
                <w:szCs w:val="24"/>
                <w:lang w:eastAsia="zh-CN"/>
              </w:rPr>
              <w:t>为</w:t>
            </w:r>
            <w:r>
              <w:rPr>
                <w:rFonts w:hint="eastAsia" w:ascii="仿宋_GB2312" w:hAnsi="仿宋_GB2312" w:eastAsia="仿宋_GB2312" w:cs="仿宋_GB2312"/>
                <w:sz w:val="24"/>
                <w:szCs w:val="24"/>
              </w:rPr>
              <w:t>97.1%，2021年全省</w:t>
            </w:r>
            <w:r>
              <w:rPr>
                <w:rFonts w:hint="eastAsia" w:ascii="仿宋_GB2312" w:hAnsi="仿宋_GB2312" w:eastAsia="仿宋_GB2312" w:cs="仿宋_GB2312"/>
                <w:sz w:val="24"/>
                <w:szCs w:val="24"/>
                <w:lang w:eastAsia="zh-CN"/>
              </w:rPr>
              <w:t>自动监测数据</w:t>
            </w:r>
            <w:r>
              <w:rPr>
                <w:rFonts w:hint="eastAsia" w:ascii="仿宋_GB2312" w:hAnsi="仿宋_GB2312" w:eastAsia="仿宋_GB2312" w:cs="仿宋_GB2312"/>
                <w:sz w:val="24"/>
                <w:szCs w:val="24"/>
              </w:rPr>
              <w:t>传输率1</w:t>
            </w:r>
            <w:r>
              <w:rPr>
                <w:rFonts w:hint="eastAsia" w:ascii="仿宋_GB2312" w:hAnsi="仿宋_GB2312" w:eastAsia="仿宋_GB2312" w:cs="仿宋_GB2312"/>
                <w:sz w:val="24"/>
                <w:szCs w:val="24"/>
                <w:lang w:eastAsia="zh-CN"/>
              </w:rPr>
              <w:t>至</w:t>
            </w:r>
            <w:r>
              <w:rPr>
                <w:rFonts w:hint="eastAsia" w:ascii="仿宋_GB2312" w:hAnsi="仿宋_GB2312" w:eastAsia="仿宋_GB2312" w:cs="仿宋_GB2312"/>
                <w:sz w:val="24"/>
                <w:szCs w:val="24"/>
              </w:rPr>
              <w:t>7月为97.18%，</w:t>
            </w:r>
            <w:r>
              <w:rPr>
                <w:rFonts w:hint="eastAsia" w:ascii="仿宋_GB2312" w:hAnsi="仿宋_GB2312" w:eastAsia="仿宋_GB2312" w:cs="仿宋_GB2312"/>
                <w:sz w:val="24"/>
                <w:szCs w:val="24"/>
                <w:lang w:eastAsia="zh-CN"/>
              </w:rPr>
              <w:t>达到国家考核标准。保障移动执法系统</w:t>
            </w:r>
            <w:r>
              <w:rPr>
                <w:rFonts w:hint="eastAsia" w:ascii="仿宋_GB2312" w:hAnsi="仿宋_GB2312" w:eastAsia="仿宋_GB2312" w:cs="仿宋_GB2312"/>
                <w:sz w:val="24"/>
                <w:szCs w:val="24"/>
              </w:rPr>
              <w:t>稳定</w:t>
            </w:r>
            <w:r>
              <w:rPr>
                <w:rFonts w:hint="eastAsia" w:ascii="仿宋_GB2312" w:hAnsi="仿宋_GB2312" w:eastAsia="仿宋_GB2312" w:cs="仿宋_GB2312"/>
                <w:sz w:val="24"/>
                <w:szCs w:val="24"/>
                <w:lang w:eastAsia="zh-CN"/>
              </w:rPr>
              <w:t>运行，为</w:t>
            </w:r>
            <w:r>
              <w:rPr>
                <w:rFonts w:hint="eastAsia" w:ascii="仿宋_GB2312" w:hAnsi="仿宋_GB2312" w:eastAsia="仿宋_GB2312" w:cs="仿宋_GB2312"/>
                <w:sz w:val="24"/>
                <w:szCs w:val="24"/>
              </w:rPr>
              <w:t>省本级和市（州），各县（市、区）执法机构的执法人员</w:t>
            </w:r>
            <w:r>
              <w:rPr>
                <w:rFonts w:hint="eastAsia" w:ascii="仿宋_GB2312" w:hAnsi="仿宋_GB2312" w:eastAsia="仿宋_GB2312" w:cs="仿宋_GB2312"/>
                <w:sz w:val="24"/>
                <w:szCs w:val="24"/>
                <w:lang w:eastAsia="zh-CN"/>
              </w:rPr>
              <w:t>执法办案提供支撑</w:t>
            </w:r>
            <w:r>
              <w:rPr>
                <w:rFonts w:hint="eastAsia" w:ascii="仿宋_GB2312" w:hAnsi="仿宋_GB2312" w:eastAsia="仿宋_GB2312" w:cs="仿宋_GB2312"/>
                <w:sz w:val="24"/>
                <w:szCs w:val="24"/>
              </w:rPr>
              <w:t>。</w:t>
            </w:r>
          </w:p>
        </w:tc>
      </w:tr>
      <w:tr>
        <w:tblPrEx>
          <w:tblLayout w:type="fixed"/>
          <w:tblCellMar>
            <w:top w:w="0" w:type="dxa"/>
            <w:left w:w="0" w:type="dxa"/>
            <w:bottom w:w="0" w:type="dxa"/>
            <w:right w:w="0" w:type="dxa"/>
          </w:tblCellMar>
        </w:tblPrEx>
        <w:trPr>
          <w:trHeight w:val="1052" w:hRule="atLeast"/>
          <w:jc w:val="center"/>
        </w:trPr>
        <w:tc>
          <w:tcPr>
            <w:tcW w:w="37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项目完成指标</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视频监控正常运行</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正常运行天数</w:t>
            </w:r>
          </w:p>
        </w:tc>
        <w:tc>
          <w:tcPr>
            <w:tcW w:w="2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视频监控正常运行364天。</w:t>
            </w:r>
          </w:p>
        </w:tc>
      </w:tr>
      <w:tr>
        <w:tblPrEx>
          <w:tblLayout w:type="fixed"/>
          <w:tblCellMar>
            <w:top w:w="0" w:type="dxa"/>
            <w:left w:w="0" w:type="dxa"/>
            <w:bottom w:w="0" w:type="dxa"/>
            <w:right w:w="0" w:type="dxa"/>
          </w:tblCellMar>
        </w:tblPrEx>
        <w:trPr>
          <w:trHeight w:val="1856" w:hRule="atLeast"/>
          <w:jc w:val="center"/>
        </w:trPr>
        <w:tc>
          <w:tcPr>
            <w:tcW w:w="37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项目完成指标</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运行维护费</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总共不高于470万元（光纤租用不高于263万元；视频监控不高于70万元；自动监控不高于40万元；移动执法不高于70万元）</w:t>
            </w:r>
          </w:p>
        </w:tc>
        <w:tc>
          <w:tcPr>
            <w:tcW w:w="2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运行维护费374.05万元（光纤租用不高于168万元；视频监控不高于68.25万元；自动监控不高于38.8万元；移动执法不高于68万元等）</w:t>
            </w:r>
          </w:p>
        </w:tc>
      </w:tr>
      <w:tr>
        <w:tblPrEx>
          <w:tblLayout w:type="fixed"/>
          <w:tblCellMar>
            <w:top w:w="0" w:type="dxa"/>
            <w:left w:w="0" w:type="dxa"/>
            <w:bottom w:w="0" w:type="dxa"/>
            <w:right w:w="0" w:type="dxa"/>
          </w:tblCellMar>
        </w:tblPrEx>
        <w:trPr>
          <w:trHeight w:val="1245" w:hRule="atLeast"/>
          <w:jc w:val="center"/>
        </w:trPr>
        <w:tc>
          <w:tcPr>
            <w:tcW w:w="37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效益指标</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改善环境质量</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提升全省自动监控数据质量，提高全省环境</w:t>
            </w:r>
            <w:r>
              <w:rPr>
                <w:rFonts w:hint="eastAsia" w:ascii="仿宋_GB2312" w:hAnsi="仿宋_GB2312" w:eastAsia="仿宋_GB2312" w:cs="仿宋_GB2312"/>
                <w:sz w:val="24"/>
                <w:szCs w:val="24"/>
                <w:lang w:eastAsia="zh-CN"/>
              </w:rPr>
              <w:t>执法</w:t>
            </w:r>
            <w:r>
              <w:rPr>
                <w:rFonts w:hint="eastAsia" w:ascii="仿宋_GB2312" w:hAnsi="仿宋_GB2312" w:eastAsia="仿宋_GB2312" w:cs="仿宋_GB2312"/>
                <w:sz w:val="24"/>
                <w:szCs w:val="24"/>
              </w:rPr>
              <w:t>业务信息化程度，助力</w:t>
            </w:r>
            <w:r>
              <w:rPr>
                <w:rFonts w:hint="eastAsia" w:ascii="仿宋_GB2312" w:hAnsi="仿宋_GB2312" w:eastAsia="仿宋_GB2312" w:cs="仿宋_GB2312"/>
                <w:sz w:val="24"/>
                <w:szCs w:val="24"/>
                <w:lang w:eastAsia="zh-CN"/>
              </w:rPr>
              <w:t>生态</w:t>
            </w:r>
            <w:r>
              <w:rPr>
                <w:rFonts w:hint="eastAsia" w:ascii="仿宋_GB2312" w:hAnsi="仿宋_GB2312" w:eastAsia="仿宋_GB2312" w:cs="仿宋_GB2312"/>
                <w:sz w:val="24"/>
                <w:szCs w:val="24"/>
              </w:rPr>
              <w:t>环境</w:t>
            </w:r>
            <w:r>
              <w:rPr>
                <w:rFonts w:hint="eastAsia" w:ascii="仿宋_GB2312" w:hAnsi="仿宋_GB2312" w:eastAsia="仿宋_GB2312" w:cs="仿宋_GB2312"/>
                <w:sz w:val="24"/>
                <w:szCs w:val="24"/>
                <w:lang w:eastAsia="zh-CN"/>
              </w:rPr>
              <w:t>质量</w:t>
            </w:r>
            <w:r>
              <w:rPr>
                <w:rFonts w:hint="eastAsia" w:ascii="仿宋_GB2312" w:hAnsi="仿宋_GB2312" w:eastAsia="仿宋_GB2312" w:cs="仿宋_GB2312"/>
                <w:sz w:val="24"/>
                <w:szCs w:val="24"/>
              </w:rPr>
              <w:t>改善。</w:t>
            </w:r>
          </w:p>
        </w:tc>
        <w:tc>
          <w:tcPr>
            <w:tcW w:w="2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2021年1</w:t>
            </w:r>
            <w:r>
              <w:rPr>
                <w:rFonts w:hint="eastAsia" w:ascii="仿宋_GB2312" w:hAnsi="仿宋_GB2312" w:eastAsia="仿宋_GB2312" w:cs="仿宋_GB2312"/>
                <w:sz w:val="24"/>
                <w:szCs w:val="24"/>
                <w:lang w:eastAsia="zh-CN"/>
              </w:rPr>
              <w:t>至</w:t>
            </w:r>
            <w:r>
              <w:rPr>
                <w:rFonts w:hint="eastAsia" w:ascii="仿宋_GB2312" w:hAnsi="仿宋_GB2312" w:eastAsia="仿宋_GB2312" w:cs="仿宋_GB2312"/>
                <w:sz w:val="24"/>
                <w:szCs w:val="24"/>
              </w:rPr>
              <w:t>7月</w:t>
            </w:r>
            <w:r>
              <w:rPr>
                <w:rFonts w:hint="eastAsia" w:ascii="仿宋_GB2312" w:hAnsi="仿宋_GB2312" w:eastAsia="仿宋_GB2312" w:cs="仿宋_GB2312"/>
                <w:sz w:val="24"/>
                <w:szCs w:val="24"/>
                <w:lang w:eastAsia="zh-CN"/>
              </w:rPr>
              <w:t>，全省</w:t>
            </w:r>
            <w:r>
              <w:rPr>
                <w:rFonts w:hint="eastAsia" w:ascii="仿宋_GB2312" w:hAnsi="仿宋_GB2312" w:eastAsia="仿宋_GB2312" w:cs="仿宋_GB2312"/>
                <w:sz w:val="24"/>
                <w:szCs w:val="24"/>
              </w:rPr>
              <w:t>自动监控数据传输率为97.18%，同比提高2%。</w:t>
            </w:r>
          </w:p>
        </w:tc>
      </w:tr>
      <w:tr>
        <w:tblPrEx>
          <w:tblLayout w:type="fixed"/>
          <w:tblCellMar>
            <w:top w:w="0" w:type="dxa"/>
            <w:left w:w="0" w:type="dxa"/>
            <w:bottom w:w="0" w:type="dxa"/>
            <w:right w:w="0" w:type="dxa"/>
          </w:tblCellMar>
        </w:tblPrEx>
        <w:trPr>
          <w:trHeight w:val="2161" w:hRule="atLeast"/>
          <w:jc w:val="center"/>
        </w:trPr>
        <w:tc>
          <w:tcPr>
            <w:tcW w:w="374"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效益指标</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持续监控排污单位</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减少排污</w:t>
            </w:r>
          </w:p>
        </w:tc>
        <w:tc>
          <w:tcPr>
            <w:tcW w:w="2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2021年上半年，全省空气质量优良天数率为87.3%，较2018</w:t>
            </w:r>
            <w:r>
              <w:rPr>
                <w:rFonts w:hint="eastAsia" w:ascii="仿宋_GB2312" w:hAnsi="仿宋_GB2312" w:eastAsia="仿宋_GB2312" w:cs="仿宋_GB2312"/>
                <w:sz w:val="24"/>
                <w:szCs w:val="24"/>
                <w:lang w:eastAsia="zh-CN"/>
              </w:rPr>
              <w:t>至</w:t>
            </w:r>
            <w:r>
              <w:rPr>
                <w:rFonts w:hint="eastAsia" w:ascii="仿宋_GB2312" w:hAnsi="仿宋_GB2312" w:eastAsia="仿宋_GB2312" w:cs="仿宋_GB2312"/>
                <w:sz w:val="24"/>
                <w:szCs w:val="24"/>
              </w:rPr>
              <w:t>2020年3年同期均值上升0.8个百分点，全省203个国考断面中，水质优良断面187个，占比92.1%。</w:t>
            </w:r>
          </w:p>
        </w:tc>
      </w:tr>
      <w:tr>
        <w:tblPrEx>
          <w:tblLayout w:type="fixed"/>
          <w:tblCellMar>
            <w:top w:w="0" w:type="dxa"/>
            <w:left w:w="0" w:type="dxa"/>
            <w:bottom w:w="0" w:type="dxa"/>
            <w:right w:w="0" w:type="dxa"/>
          </w:tblCellMar>
        </w:tblPrEx>
        <w:trPr>
          <w:trHeight w:val="1560" w:hRule="atLeast"/>
          <w:jc w:val="center"/>
        </w:trPr>
        <w:tc>
          <w:tcPr>
            <w:tcW w:w="374"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满意度指标</w:t>
            </w:r>
          </w:p>
        </w:tc>
        <w:tc>
          <w:tcPr>
            <w:tcW w:w="9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c>
          <w:tcPr>
            <w:tcW w:w="1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满意度调查</w:t>
            </w:r>
          </w:p>
        </w:tc>
        <w:tc>
          <w:tcPr>
            <w:tcW w:w="265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2529"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视频监控按季度共发出满意度调查30份，收回30份，满意度100%。其他项目</w:t>
            </w:r>
            <w:r>
              <w:rPr>
                <w:rFonts w:hint="eastAsia" w:ascii="仿宋_GB2312" w:hAnsi="仿宋_GB2312" w:eastAsia="仿宋_GB2312" w:cs="仿宋_GB2312"/>
                <w:sz w:val="24"/>
                <w:szCs w:val="24"/>
                <w:lang w:eastAsia="zh-CN"/>
              </w:rPr>
              <w:t>仍在实施，满意度调查未终结</w:t>
            </w:r>
            <w:r>
              <w:rPr>
                <w:rFonts w:hint="eastAsia" w:ascii="仿宋_GB2312" w:hAnsi="仿宋_GB2312" w:eastAsia="仿宋_GB2312" w:cs="仿宋_GB2312"/>
                <w:sz w:val="24"/>
                <w:szCs w:val="24"/>
              </w:rPr>
              <w:t>。</w:t>
            </w:r>
          </w:p>
        </w:tc>
      </w:tr>
    </w:tbl>
    <w:p>
      <w:pPr>
        <w:spacing w:line="580" w:lineRule="exact"/>
        <w:ind w:firstLine="640" w:firstLineChars="200"/>
        <w:rPr>
          <w:rFonts w:hint="eastAsia" w:ascii="仿宋_GB2312" w:hAnsi="仿宋_GB2312" w:eastAsia="仿宋_GB2312" w:cs="仿宋_GB2312"/>
          <w:color w:val="auto"/>
          <w:sz w:val="24"/>
          <w:szCs w:val="24"/>
        </w:rPr>
      </w:pPr>
    </w:p>
    <w:tbl>
      <w:tblPr>
        <w:tblStyle w:val="17"/>
        <w:tblpPr w:leftFromText="180" w:rightFromText="180" w:vertAnchor="text" w:horzAnchor="page" w:tblpXSpec="center" w:tblpY="1020"/>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强化督查和执法专项行动经费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四川省生态环境保护综合行政执法总队</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87.89</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87.89</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szCs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进一步加强生态环境保护综合行政执法队伍建设，提升人员素质，展现队伍形象，树立执法权威，打造生态环境保护执法铁军，按照生态环境部连续三年开展“全员、全年、全过程”执法大练兵活动的部署要求，开展蓝天、碧水、净土保卫战专项执法行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djustRightInd w:val="0"/>
              <w:snapToGrid w:val="0"/>
              <w:spacing w:line="240" w:lineRule="auto"/>
              <w:ind w:firstLine="7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通过强化督查和执法专项行动，持续保持执法高压态势，被督查地区大气环境质量持续好转，空气优良天数持续上升。进一步夯实了地方党委政府生态环境保护职责,推动了一批突出生态环境问题及时得到解决，美丽四川建设扎实推进。</w:t>
            </w:r>
          </w:p>
          <w:p>
            <w:pPr>
              <w:widowControl/>
              <w:jc w:val="left"/>
              <w:textAlignment w:val="center"/>
              <w:rPr>
                <w:rFonts w:hint="eastAsia"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数量指标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出动人次</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1400</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2400</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项目完成指标</w:t>
            </w:r>
          </w:p>
        </w:tc>
        <w:tc>
          <w:tcPr>
            <w:tcW w:w="10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开展蓝天、碧水、净土保卫战专项执法行动。</w:t>
            </w:r>
          </w:p>
        </w:tc>
        <w:tc>
          <w:tcPr>
            <w:tcW w:w="23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3次</w:t>
            </w:r>
          </w:p>
        </w:tc>
        <w:tc>
          <w:tcPr>
            <w:tcW w:w="239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夏季臭氧帮扶、冬季大气污染防治攻坚帮扶，长江经济带突出环境问题暗查暗访工作，</w:t>
            </w:r>
            <w:r>
              <w:rPr>
                <w:rFonts w:hint="eastAsia" w:ascii="仿宋_GB2312" w:hAnsi="仿宋_GB2312" w:eastAsia="仿宋_GB2312" w:cs="仿宋_GB2312"/>
                <w:sz w:val="24"/>
                <w:szCs w:val="24"/>
                <w:lang w:eastAsia="zh-CN"/>
              </w:rPr>
              <w:t>危险</w:t>
            </w:r>
            <w:r>
              <w:rPr>
                <w:rFonts w:hint="eastAsia" w:ascii="仿宋_GB2312" w:hAnsi="仿宋_GB2312" w:eastAsia="仿宋_GB2312" w:cs="仿宋_GB2312"/>
                <w:sz w:val="24"/>
                <w:szCs w:val="24"/>
              </w:rPr>
              <w:t>废物专项排查工作。</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项目完成指标</w:t>
            </w:r>
          </w:p>
        </w:tc>
        <w:tc>
          <w:tcPr>
            <w:tcW w:w="10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专项执法行动完成（上报）时限</w:t>
            </w:r>
          </w:p>
        </w:tc>
        <w:tc>
          <w:tcPr>
            <w:tcW w:w="23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12月底</w:t>
            </w:r>
          </w:p>
        </w:tc>
        <w:tc>
          <w:tcPr>
            <w:tcW w:w="239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12月底</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生态效益指标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改善空气、水、土壤质量</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达到考核标准</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达到考核标准</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效益指标</w:t>
            </w:r>
          </w:p>
        </w:tc>
        <w:tc>
          <w:tcPr>
            <w:tcW w:w="10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减少雾霾天气</w:t>
            </w:r>
          </w:p>
        </w:tc>
        <w:tc>
          <w:tcPr>
            <w:tcW w:w="2394"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天气达标值</w:t>
            </w:r>
          </w:p>
        </w:tc>
        <w:tc>
          <w:tcPr>
            <w:tcW w:w="2392" w:type="dxa"/>
            <w:tcBorders>
              <w:top w:val="nil"/>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天气达标值</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sz w:val="24"/>
                <w:szCs w:val="24"/>
              </w:rPr>
              <w:t>满意度指标</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w:t>
            </w:r>
          </w:p>
        </w:tc>
        <w:tc>
          <w:tcPr>
            <w:tcW w:w="239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239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90%</w:t>
            </w:r>
          </w:p>
        </w:tc>
      </w:tr>
    </w:tbl>
    <w:p>
      <w:pPr>
        <w:spacing w:line="580" w:lineRule="exact"/>
        <w:ind w:firstLine="640" w:firstLineChars="200"/>
        <w:rPr>
          <w:rFonts w:ascii="仿宋_GB2312" w:hAnsi="仿宋_GB2312" w:eastAsia="仿宋_GB2312" w:cs="仿宋_GB2312"/>
          <w:color w:val="auto"/>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聘用人员经费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四川省生态环境保护综合行政执法总队</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90</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90</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聘用人员10人，工资、保险、住房公积金、工会费用、福利费用等每人每年约5万元计算经费，共需50万元。2.聘用驾驶员12人，工资、公里补助、保险、住房公积金、安全奖励、工会费用、福利费用等每人每年按5万元计算经费，共需60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实际聘用人员3人、聘用驾驶员9人，保障了各类专项行动和日常执法活动的顺利开展。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完成22个人员的聘用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22人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实际聘用12人</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项目完成指标</w:t>
            </w:r>
          </w:p>
        </w:tc>
        <w:tc>
          <w:tcPr>
            <w:tcW w:w="10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完成人员聘用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12月底前</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严格控制人员经费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不超过110万元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90万</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对生态环境执法的促进作用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圆满完成各项专项执法行动和自动监控系统维护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圆满完成各项专项执法行动和自动监控系统维护</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改善大气、水环境质量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达到考核标准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达到考核标准</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大于等于90%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90%</w:t>
            </w:r>
          </w:p>
        </w:tc>
      </w:tr>
    </w:tbl>
    <w:p>
      <w:pPr>
        <w:spacing w:line="580" w:lineRule="exact"/>
        <w:ind w:firstLine="640" w:firstLineChars="200"/>
        <w:rPr>
          <w:rFonts w:ascii="仿宋_GB2312" w:hAnsi="仿宋_GB2312" w:eastAsia="仿宋_GB2312" w:cs="仿宋_GB2312"/>
          <w:color w:val="auto"/>
          <w:sz w:val="32"/>
          <w:szCs w:val="32"/>
        </w:rPr>
      </w:pPr>
    </w:p>
    <w:tbl>
      <w:tblPr>
        <w:tblStyle w:val="17"/>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sz w:val="36"/>
                <w:szCs w:val="36"/>
              </w:rPr>
            </w:pPr>
            <w:r>
              <w:rPr>
                <w:rFonts w:hint="eastAsia" w:ascii="宋体" w:hAnsi="宋体" w:cs="宋体"/>
                <w:b/>
                <w:bCs/>
                <w:kern w:val="0"/>
                <w:sz w:val="36"/>
                <w:szCs w:val="36"/>
                <w:lang w:bidi="ar"/>
              </w:rPr>
              <w:t>项目绩效目标完成情况表</w:t>
            </w:r>
            <w:r>
              <w:rPr>
                <w:rFonts w:hint="eastAsia" w:ascii="宋体" w:hAnsi="宋体" w:cs="宋体"/>
                <w:b/>
                <w:bCs/>
                <w:kern w:val="0"/>
                <w:sz w:val="36"/>
                <w:szCs w:val="36"/>
                <w:lang w:bidi="ar"/>
              </w:rPr>
              <w:br w:type="textWrapping"/>
            </w:r>
            <w:r>
              <w:rPr>
                <w:rFonts w:hint="eastAsia" w:ascii="宋体" w:hAnsi="宋体" w:cs="宋体"/>
                <w:kern w:val="0"/>
                <w:sz w:val="36"/>
                <w:szCs w:val="36"/>
                <w:lang w:bidi="ar"/>
              </w:rPr>
              <w:t>(2020年度)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设备购置经费</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四川省生态环境保护综合行政执法总队</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395.73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color w:val="FF0000"/>
                <w:sz w:val="24"/>
              </w:rPr>
              <w:t>371.6</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395.73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371.6</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_GB2312" w:hAnsi="仿宋_GB2312" w:eastAsia="仿宋_GB2312" w:cs="仿宋_GB2312"/>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按照财政厅、机关事务管理局限额标准等，购置一批办公设备、一批执法快速检测设备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购置执法检查装备：手持式VOC检测仪3台，单价10万；手持水质多参数分析仪1台，单价17.5万；便携式重金属检测仪1台，单价20万；大气走航仪一台，单价225万。共计292.5万元。购置应急检查设备（水下机器人2台，单价2.8万元；便携式红外热成像仪8台，单价2.9万；便携式分光光度计7台，单价4万；激光测距仪20台，单价0.37万元；红外望远镜20台，单价0.48万元；便携式移动电源7台，单价0.4万；手持式扬尘噪声检测仪1台，单价2.5万元）共计79.10万元。两项合计支出371.6万元。</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项目完成指标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采购设备品质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符合政府采购标准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93.9%</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项目完成指标</w:t>
            </w:r>
          </w:p>
        </w:tc>
        <w:tc>
          <w:tcPr>
            <w:tcW w:w="10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采购项目验收合格率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100%</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项目完成指标</w:t>
            </w:r>
          </w:p>
        </w:tc>
        <w:tc>
          <w:tcPr>
            <w:tcW w:w="102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采购完成（上报）时限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12月底前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12月底前</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经济效益指标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提高执法人员执法能力</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办案效率提高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办案效率提高</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kern w:val="0"/>
                <w:sz w:val="24"/>
                <w:lang w:bidi="ar"/>
              </w:rPr>
            </w:pPr>
            <w:r>
              <w:rPr>
                <w:rFonts w:hint="eastAsia" w:ascii="仿宋_GB2312" w:hAnsi="仿宋_GB2312" w:eastAsia="仿宋_GB2312" w:cs="仿宋_GB2312"/>
                <w:kern w:val="0"/>
                <w:sz w:val="24"/>
                <w:lang w:bidi="ar"/>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生态效益指标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改善空气、水、土壤质量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达到考核标准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达到考核标准</w:t>
            </w:r>
          </w:p>
        </w:tc>
      </w:tr>
      <w:tr>
        <w:tblPrEx>
          <w:tblLayout w:type="fixed"/>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90%</w:t>
            </w:r>
          </w:p>
        </w:tc>
      </w:tr>
    </w:tbl>
    <w:p>
      <w:pPr>
        <w:spacing w:line="580" w:lineRule="exact"/>
        <w:rPr>
          <w:rFonts w:ascii="仿宋_GB2312" w:hAnsi="仿宋_GB2312" w:eastAsia="仿宋_GB2312" w:cs="仿宋_GB2312"/>
          <w:color w:val="auto"/>
          <w:sz w:val="32"/>
          <w:szCs w:val="32"/>
        </w:rPr>
      </w:pPr>
    </w:p>
    <w:p>
      <w:pPr>
        <w:spacing w:line="580" w:lineRule="exact"/>
        <w:ind w:left="63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单位</w:t>
      </w:r>
      <w:r>
        <w:rPr>
          <w:rFonts w:hint="eastAsia" w:ascii="仿宋_GB2312" w:hAnsi="仿宋_GB2312" w:eastAsia="仿宋_GB2312" w:cs="仿宋_GB2312"/>
          <w:b w:val="0"/>
          <w:bCs w:val="0"/>
          <w:color w:val="auto"/>
          <w:sz w:val="32"/>
          <w:szCs w:val="32"/>
        </w:rPr>
        <w:t>绩效评价结果。</w:t>
      </w:r>
    </w:p>
    <w:p>
      <w:pPr>
        <w:spacing w:line="58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本单位自行组织对“信息化建设及运行维护费”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强化督查和执法专项行动经费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“聘用人员经费”</w:t>
      </w:r>
      <w:r>
        <w:rPr>
          <w:rFonts w:hint="eastAsia" w:ascii="仿宋_GB2312" w:hAnsi="仿宋_GB2312" w:eastAsia="仿宋_GB2312" w:cs="仿宋_GB2312"/>
          <w:b w:val="0"/>
          <w:bCs w:val="0"/>
          <w:color w:val="auto"/>
          <w:sz w:val="32"/>
          <w:szCs w:val="32"/>
          <w:lang w:eastAsia="zh-CN"/>
        </w:rPr>
        <w:t>“设备购置经费”等</w:t>
      </w:r>
      <w:r>
        <w:rPr>
          <w:rFonts w:hint="eastAsia" w:ascii="仿宋_GB2312" w:hAnsi="仿宋_GB2312" w:eastAsia="仿宋_GB2312" w:cs="仿宋_GB2312"/>
          <w:b w:val="0"/>
          <w:bCs w:val="0"/>
          <w:color w:val="auto"/>
          <w:sz w:val="32"/>
          <w:szCs w:val="32"/>
          <w:lang w:val="en-US" w:eastAsia="zh-CN"/>
        </w:rPr>
        <w:t>4个</w:t>
      </w:r>
      <w:r>
        <w:rPr>
          <w:rFonts w:hint="eastAsia" w:ascii="仿宋_GB2312" w:hAnsi="仿宋_GB2312" w:eastAsia="仿宋_GB2312" w:cs="仿宋_GB2312"/>
          <w:b w:val="0"/>
          <w:bCs w:val="0"/>
          <w:color w:val="auto"/>
          <w:sz w:val="32"/>
          <w:szCs w:val="32"/>
        </w:rPr>
        <w:t>项目开展了绩效评价，《202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年信息化建设及运行维护费项目支出绩效自评报告》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年强化督查和执法专项行动经费项目支出绩效自评报告》《202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年聘用人员经费项目支出绩效自评报告》《202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eastAsia="zh-CN"/>
        </w:rPr>
        <w:t>设备购置经费</w:t>
      </w:r>
      <w:r>
        <w:rPr>
          <w:rFonts w:hint="eastAsia" w:ascii="仿宋_GB2312" w:hAnsi="仿宋_GB2312" w:eastAsia="仿宋_GB2312" w:cs="仿宋_GB2312"/>
          <w:b w:val="0"/>
          <w:bCs w:val="0"/>
          <w:color w:val="auto"/>
          <w:sz w:val="32"/>
          <w:szCs w:val="32"/>
        </w:rPr>
        <w:t>项目支出绩效自评报告》见附件</w:t>
      </w:r>
      <w:r>
        <w:rPr>
          <w:rFonts w:hint="eastAsia" w:ascii="仿宋_GB2312" w:hAnsi="仿宋_GB2312" w:eastAsia="仿宋_GB2312" w:cs="仿宋_GB2312"/>
          <w:b w:val="0"/>
          <w:bCs w:val="0"/>
          <w:color w:val="auto"/>
          <w:sz w:val="32"/>
          <w:szCs w:val="32"/>
          <w:lang w:eastAsia="zh-CN"/>
        </w:rPr>
        <w:t>（第四部分）</w:t>
      </w:r>
      <w:r>
        <w:rPr>
          <w:rFonts w:hint="eastAsia" w:ascii="仿宋_GB2312" w:hAnsi="仿宋_GB2312" w:eastAsia="仿宋_GB2312" w:cs="仿宋_GB2312"/>
          <w:b w:val="0"/>
          <w:bCs w:val="0"/>
          <w:color w:val="auto"/>
          <w:sz w:val="32"/>
          <w:szCs w:val="32"/>
        </w:rPr>
        <w:t>。</w:t>
      </w:r>
    </w:p>
    <w:p>
      <w:pPr>
        <w:widowControl/>
        <w:jc w:val="left"/>
        <w:rPr>
          <w:rFonts w:ascii="仿宋_GB2312" w:eastAsia="仿宋_GB2312"/>
          <w:b/>
          <w:color w:val="auto"/>
          <w:sz w:val="32"/>
          <w:szCs w:val="32"/>
        </w:rPr>
      </w:pPr>
      <w:r>
        <w:rPr>
          <w:rFonts w:ascii="仿宋_GB2312" w:eastAsia="仿宋_GB2312"/>
          <w:b/>
          <w:color w:val="auto"/>
          <w:sz w:val="32"/>
          <w:szCs w:val="32"/>
        </w:rPr>
        <w:br w:type="page"/>
      </w:r>
    </w:p>
    <w:p>
      <w:pPr>
        <w:numPr>
          <w:ilvl w:val="0"/>
          <w:numId w:val="6"/>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color w:val="000000"/>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color w:val="000000"/>
          <w:sz w:val="44"/>
          <w:szCs w:val="44"/>
        </w:rPr>
      </w:pP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财政拨款收入：指单位从同级财政部门取得的财政预算资金。</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事业收入：指事业单位开展专业业务活动及辅助活动取得的收入。</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经营收入：指事业单位在专业业务活动及其辅助活动之外开展非独立核算经营活动取得的收入。</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其他收入：指单位取得的除上述收入以外的各项收入。</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使用非财政拨款结余</w:t>
      </w:r>
      <w:r>
        <w:rPr>
          <w:rFonts w:hint="eastAsia" w:ascii="仿宋_GB2312" w:hAnsi="仿宋_GB2312" w:eastAsia="仿宋_GB2312" w:cs="仿宋_GB2312"/>
          <w:color w:val="auto"/>
          <w:sz w:val="32"/>
          <w:szCs w:val="32"/>
        </w:rPr>
        <w:t>：指事业单位</w:t>
      </w:r>
      <w:r>
        <w:rPr>
          <w:rFonts w:hint="eastAsia" w:ascii="仿宋_GB2312" w:hAnsi="仿宋_GB2312" w:eastAsia="仿宋_GB2312" w:cs="仿宋_GB2312"/>
          <w:color w:val="auto"/>
          <w:sz w:val="32"/>
          <w:szCs w:val="32"/>
          <w:lang w:eastAsia="zh-CN"/>
        </w:rPr>
        <w:t>使用以前年度积累的非财政拨款结余弥补当年收支差额的金额。</w:t>
      </w:r>
      <w:r>
        <w:rPr>
          <w:rFonts w:hint="eastAsia" w:ascii="仿宋_GB2312" w:hAnsi="仿宋_GB2312" w:eastAsia="仿宋_GB2312" w:cs="仿宋_GB2312"/>
          <w:color w:val="auto"/>
          <w:sz w:val="32"/>
          <w:szCs w:val="32"/>
        </w:rPr>
        <w:t xml:space="preserve"> </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6.年初结转和结余：指以前年度尚未完成、结转到本年按有关规定继续使用的资金。 </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7.结余分配：指事业单位按照会计制度规定</w:t>
      </w:r>
      <w:r>
        <w:rPr>
          <w:rFonts w:hint="eastAsia" w:ascii="仿宋_GB2312" w:hAnsi="仿宋_GB2312" w:eastAsia="仿宋_GB2312" w:cs="仿宋_GB2312"/>
          <w:color w:val="auto"/>
          <w:sz w:val="32"/>
          <w:szCs w:val="32"/>
          <w:lang w:eastAsia="zh-CN"/>
        </w:rPr>
        <w:t>缴纳的所得税、提取的专用结余以及转入非财政拨款结余的金额</w:t>
      </w:r>
      <w:r>
        <w:rPr>
          <w:rFonts w:hint="eastAsia" w:ascii="仿宋_GB2312" w:hAnsi="仿宋_GB2312" w:eastAsia="仿宋_GB2312" w:cs="仿宋_GB2312"/>
          <w:color w:val="auto"/>
          <w:sz w:val="32"/>
          <w:szCs w:val="32"/>
        </w:rPr>
        <w:t>等。</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8、年末结转和结余：指单位按有关规定结转到下年或以后年度继续使用的资金。</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．一般公共服务（类）其他一般公共服务支出（款）其他一般公共服务支出（项）：反映其他一般公共服务支出中除了已列各项外的其他一般公共服务支出。</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教育支出（类）进修及培训（款）培训支出（项）：反映各部门安排的用于培训的支出。教育部门的师资培训，党校、行政学院等专业干部教育机构的支出，以及退役士兵、转业士官的培训支出，不在本科目反映。</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．社会保障和就业（类）行政事业单位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行政</w:t>
      </w:r>
      <w:r>
        <w:rPr>
          <w:rFonts w:hint="eastAsia" w:ascii="仿宋_GB2312" w:hAnsi="仿宋_GB2312" w:eastAsia="仿宋_GB2312" w:cs="仿宋_GB2312"/>
          <w:color w:val="auto"/>
          <w:sz w:val="32"/>
          <w:szCs w:val="32"/>
        </w:rPr>
        <w:t>单位离退休（项）：反映行政单位（包含实行公务员管理的事业单位）开支的离退休</w:t>
      </w:r>
      <w:r>
        <w:rPr>
          <w:rFonts w:hint="eastAsia" w:ascii="仿宋_GB2312" w:hAnsi="仿宋_GB2312" w:eastAsia="仿宋_GB2312" w:cs="仿宋_GB2312"/>
          <w:color w:val="auto"/>
          <w:sz w:val="32"/>
          <w:szCs w:val="32"/>
          <w:lang w:eastAsia="zh-CN"/>
        </w:rPr>
        <w:t>经费</w:t>
      </w:r>
      <w:r>
        <w:rPr>
          <w:rFonts w:hint="eastAsia" w:ascii="仿宋_GB2312" w:hAnsi="仿宋_GB2312" w:eastAsia="仿宋_GB2312" w:cs="仿宋_GB2312"/>
          <w:color w:val="auto"/>
          <w:sz w:val="32"/>
          <w:szCs w:val="32"/>
        </w:rPr>
        <w:t>。</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．社会保障和就业（类）行政事业单位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（款）</w:t>
      </w:r>
      <w:r>
        <w:rPr>
          <w:rFonts w:hint="eastAsia" w:ascii="仿宋_GB2312" w:hAnsi="仿宋_GB2312" w:eastAsia="仿宋_GB2312" w:cs="仿宋_GB2312"/>
          <w:color w:val="auto"/>
          <w:sz w:val="32"/>
          <w:szCs w:val="32"/>
          <w:lang w:eastAsia="zh-CN"/>
        </w:rPr>
        <w:t>机关事业单位基本养老保险缴费支出（项）</w:t>
      </w:r>
      <w:r>
        <w:rPr>
          <w:rFonts w:hint="eastAsia" w:ascii="仿宋_GB2312" w:hAnsi="仿宋_GB2312" w:eastAsia="仿宋_GB2312" w:cs="仿宋_GB2312"/>
          <w:color w:val="auto"/>
          <w:sz w:val="32"/>
          <w:szCs w:val="32"/>
        </w:rPr>
        <w:t>机关事业单位</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养老保险</w:t>
      </w:r>
      <w:r>
        <w:rPr>
          <w:rFonts w:hint="eastAsia" w:ascii="仿宋_GB2312" w:hAnsi="仿宋_GB2312" w:eastAsia="仿宋_GB2312" w:cs="仿宋_GB2312"/>
          <w:color w:val="auto"/>
          <w:sz w:val="32"/>
          <w:szCs w:val="32"/>
          <w:lang w:eastAsia="zh-CN"/>
        </w:rPr>
        <w:t>制度由单位缴纳的基本养老保险费支出</w:t>
      </w:r>
      <w:r>
        <w:rPr>
          <w:rFonts w:hint="eastAsia" w:ascii="仿宋_GB2312" w:hAnsi="仿宋_GB2312" w:eastAsia="仿宋_GB2312" w:cs="仿宋_GB2312"/>
          <w:color w:val="auto"/>
          <w:sz w:val="32"/>
          <w:szCs w:val="32"/>
        </w:rPr>
        <w:t>。</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．社会保障和就业（类）行政事业单位</w:t>
      </w:r>
      <w:r>
        <w:rPr>
          <w:rFonts w:hint="eastAsia" w:ascii="仿宋_GB2312" w:hAnsi="仿宋_GB2312" w:eastAsia="仿宋_GB2312" w:cs="仿宋_GB2312"/>
          <w:color w:val="auto"/>
          <w:sz w:val="32"/>
          <w:szCs w:val="32"/>
          <w:lang w:eastAsia="zh-CN"/>
        </w:rPr>
        <w:t>养老支出</w:t>
      </w:r>
      <w:r>
        <w:rPr>
          <w:rFonts w:hint="eastAsia" w:ascii="仿宋_GB2312" w:hAnsi="仿宋_GB2312" w:eastAsia="仿宋_GB2312" w:cs="仿宋_GB2312"/>
          <w:color w:val="auto"/>
          <w:sz w:val="32"/>
          <w:szCs w:val="32"/>
        </w:rPr>
        <w:t>（款）机关事业单位职业年金缴费支出（项）：反映机关事业单位实行养老保险制度由单位实际缴纳的职业年金支出。</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14</w:t>
      </w:r>
      <w:r>
        <w:rPr>
          <w:rFonts w:hint="eastAsia" w:ascii="仿宋_GB2312" w:hAnsi="仿宋_GB2312" w:eastAsia="仿宋_GB2312" w:cs="仿宋_GB2312"/>
          <w:color w:val="auto"/>
          <w:sz w:val="32"/>
          <w:szCs w:val="32"/>
        </w:rPr>
        <w:t>．卫生健康支出（类）行政事业单位医疗（款）行政单位医疗（项）：反映财政部门安排的行政单位</w:t>
      </w:r>
      <w:r>
        <w:rPr>
          <w:rFonts w:hint="eastAsia" w:ascii="仿宋_GB2312" w:hAnsi="仿宋_GB2312" w:eastAsia="仿宋_GB2312" w:cs="仿宋_GB2312"/>
          <w:color w:val="auto"/>
          <w:sz w:val="32"/>
          <w:szCs w:val="32"/>
          <w:lang w:eastAsia="zh-CN"/>
        </w:rPr>
        <w:t>（包括实行公务员管理的事业单位，下同）</w:t>
      </w:r>
      <w:r>
        <w:rPr>
          <w:rFonts w:hint="eastAsia" w:ascii="仿宋_GB2312" w:hAnsi="仿宋_GB2312" w:eastAsia="仿宋_GB2312" w:cs="仿宋_GB2312"/>
          <w:color w:val="auto"/>
          <w:sz w:val="32"/>
          <w:szCs w:val="32"/>
        </w:rPr>
        <w:t>基本医疗保险缴费经费，未参加医疗保险的行政单位的公费医疗经费，按国家规定享受离休人员、红军</w:t>
      </w:r>
      <w:r>
        <w:rPr>
          <w:rFonts w:hint="eastAsia" w:ascii="仿宋_GB2312" w:hAnsi="仿宋_GB2312" w:eastAsia="仿宋_GB2312" w:cs="仿宋_GB2312"/>
          <w:color w:val="auto"/>
          <w:sz w:val="32"/>
          <w:szCs w:val="32"/>
          <w:lang w:eastAsia="zh-CN"/>
        </w:rPr>
        <w:t>老</w:t>
      </w:r>
      <w:r>
        <w:rPr>
          <w:rFonts w:hint="eastAsia" w:ascii="仿宋_GB2312" w:hAnsi="仿宋_GB2312" w:eastAsia="仿宋_GB2312" w:cs="仿宋_GB2312"/>
          <w:color w:val="auto"/>
          <w:sz w:val="32"/>
          <w:szCs w:val="32"/>
        </w:rPr>
        <w:t>战士待遇人员的医疗经费。</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卫生健康支出（类）行政事业单位医疗（款）事业单位医疗（项）：反映财政部门安排的事业单位基本医疗保险缴费经费，未参加医疗保险的事业单位的公费医疗费用，按国家规定享受离休人员待遇的医疗经费。</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16</w:t>
      </w:r>
      <w:r>
        <w:rPr>
          <w:rFonts w:hint="eastAsia" w:ascii="仿宋_GB2312" w:hAnsi="仿宋_GB2312" w:eastAsia="仿宋_GB2312" w:cs="仿宋_GB2312"/>
          <w:color w:val="auto"/>
          <w:sz w:val="32"/>
          <w:szCs w:val="32"/>
        </w:rPr>
        <w:t>．卫生健康支出（类）行政事业单位医疗（款）公务员医疗补助（项）：反映财政部门安排的公务员医疗补助经费。</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17</w:t>
      </w:r>
      <w:r>
        <w:rPr>
          <w:rFonts w:hint="eastAsia" w:ascii="仿宋_GB2312" w:hAnsi="仿宋_GB2312" w:eastAsia="仿宋_GB2312" w:cs="仿宋_GB2312"/>
          <w:color w:val="auto"/>
          <w:sz w:val="32"/>
          <w:szCs w:val="32"/>
        </w:rPr>
        <w:t>．节能环保支出（类）环境保护管理事务（款）行政运行（项）：反映行政单位（包括实行公务员管理的事业单位）的基本支出。</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节能环保支出（类）污染减排（款）</w:t>
      </w:r>
      <w:r>
        <w:rPr>
          <w:rFonts w:hint="eastAsia" w:ascii="仿宋_GB2312" w:hAnsi="仿宋_GB2312" w:eastAsia="仿宋_GB2312" w:cs="仿宋_GB2312"/>
          <w:color w:val="auto"/>
          <w:sz w:val="32"/>
          <w:szCs w:val="32"/>
          <w:lang w:eastAsia="zh-CN"/>
        </w:rPr>
        <w:t>生态</w:t>
      </w:r>
      <w:r>
        <w:rPr>
          <w:rFonts w:hint="eastAsia" w:ascii="仿宋_GB2312" w:hAnsi="仿宋_GB2312" w:eastAsia="仿宋_GB2312" w:cs="仿宋_GB2312"/>
          <w:color w:val="auto"/>
          <w:sz w:val="32"/>
          <w:szCs w:val="32"/>
        </w:rPr>
        <w:t>环境执法监察（项）：反映</w:t>
      </w:r>
      <w:r>
        <w:rPr>
          <w:rFonts w:hint="eastAsia" w:ascii="仿宋_GB2312" w:hAnsi="仿宋_GB2312" w:eastAsia="仿宋_GB2312" w:cs="仿宋_GB2312"/>
          <w:color w:val="auto"/>
          <w:sz w:val="32"/>
          <w:szCs w:val="32"/>
          <w:lang w:eastAsia="zh-CN"/>
        </w:rPr>
        <w:t>生态环境</w:t>
      </w:r>
      <w:r>
        <w:rPr>
          <w:rFonts w:hint="eastAsia" w:ascii="仿宋_GB2312" w:hAnsi="仿宋_GB2312" w:eastAsia="仿宋_GB2312" w:cs="仿宋_GB2312"/>
          <w:color w:val="auto"/>
          <w:sz w:val="32"/>
          <w:szCs w:val="32"/>
        </w:rPr>
        <w:t>部门监督检查环保法律法规、标准等执行情况的支出，行政处罚、行政诉讼、行政复议支出，环境行政稽查支出，执法装备支出，排污费申报、征收与使用管理支出，环境问题举报、环境纠纷调查处理支出，突发性污染事故预防、应急处置等支出。</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住房保障支出（类）住房改革支出（款）住房公积金（项）：反映行政事业单位按人力资源和社会保障部、财政部规定的基本工资和津贴补贴以及规定比例为职工缴纳的住房公积金。</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住房保障支出（类）住房改革支出（款）购房补贴（项）：反映按房改政策规定，行政事业单位向符合条件职工（含离退休人员）、军队（含武警）向转役复员离退休人员发放的用于购买住房的补贴。</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.基本支出：指为保障机构正常运转、完成日常工作任务而发生的人员支出和公用支出。</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 xml:space="preserve">.项目支出：指在基本支出之外为完成特定行政任务和事业发展目标所发生的支出。 </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.经营支出：指事业单位在专业业务活动及其辅助活动之外开展非独立核算经营活动发生的支出。</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.“三公”经费：指</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spacing w:line="560" w:lineRule="exact"/>
        <w:ind w:firstLine="640" w:firstLineChars="200"/>
        <w:rPr>
          <w:rFonts w:hint="eastAsia" w:ascii="仿宋_GB2312" w:hAnsi="仿宋_GB2312" w:eastAsia="仿宋_GB2312" w:cs="仿宋_GB2312"/>
          <w:color w:val="auto"/>
          <w:sz w:val="32"/>
          <w:szCs w:val="32"/>
        </w:rPr>
      </w:pPr>
    </w:p>
    <w:p>
      <w:pPr>
        <w:pStyle w:val="2"/>
        <w:spacing w:line="560" w:lineRule="exact"/>
        <w:ind w:firstLine="640" w:firstLineChars="200"/>
        <w:rPr>
          <w:rFonts w:hint="eastAsia" w:ascii="仿宋_GB2312" w:hAnsi="仿宋_GB2312" w:eastAsia="仿宋_GB2312" w:cs="仿宋_GB2312"/>
          <w:color w:val="auto"/>
          <w:sz w:val="32"/>
          <w:szCs w:val="32"/>
        </w:rPr>
      </w:pPr>
    </w:p>
    <w:p>
      <w:pPr>
        <w:spacing w:line="600" w:lineRule="exact"/>
        <w:jc w:val="center"/>
        <w:outlineLvl w:val="0"/>
        <w:rPr>
          <w:rStyle w:val="25"/>
          <w:rFonts w:ascii="黑体" w:hAnsi="黑体" w:eastAsia="黑体"/>
          <w:b w:val="0"/>
        </w:rPr>
      </w:pPr>
      <w:bookmarkStart w:id="51" w:name="_Toc15377226"/>
      <w:r>
        <w:rPr>
          <w:rFonts w:ascii="宋体"/>
          <w:b/>
          <w:color w:val="000000"/>
          <w:sz w:val="44"/>
          <w:szCs w:val="44"/>
        </w:rPr>
        <w:br w:type="page"/>
      </w:r>
      <w:bookmarkStart w:id="52"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2"/>
    </w:p>
    <w:p>
      <w:pPr>
        <w:spacing w:line="600" w:lineRule="exact"/>
        <w:jc w:val="center"/>
        <w:rPr>
          <w:rFonts w:hint="eastAsia"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2020年信息化建设及运行维护项目</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支出绩效自评报告</w:t>
      </w:r>
    </w:p>
    <w:p>
      <w:pPr>
        <w:ind w:firstLine="640"/>
        <w:rPr>
          <w:rFonts w:ascii="仿宋" w:hAnsi="仿宋" w:eastAsia="仿宋" w:cs="仿宋"/>
          <w:sz w:val="32"/>
          <w:szCs w:val="32"/>
        </w:rPr>
      </w:pPr>
    </w:p>
    <w:p>
      <w:pPr>
        <w:ind w:firstLine="640"/>
        <w:rPr>
          <w:rFonts w:ascii="仿宋" w:hAnsi="仿宋" w:eastAsia="仿宋" w:cs="仿宋"/>
          <w:b/>
          <w:sz w:val="32"/>
          <w:szCs w:val="32"/>
        </w:rPr>
      </w:pPr>
      <w:r>
        <w:rPr>
          <w:rFonts w:hint="eastAsia" w:ascii="仿宋" w:hAnsi="仿宋" w:eastAsia="仿宋" w:cs="仿宋"/>
          <w:sz w:val="32"/>
          <w:szCs w:val="32"/>
        </w:rPr>
        <w:t>四川省生态环境保护综合行政执法总队信息化建设及运行维护项目主要包括</w:t>
      </w:r>
      <w:r>
        <w:rPr>
          <w:rFonts w:hint="eastAsia" w:ascii="仿宋" w:hAnsi="仿宋" w:eastAsia="仿宋" w:cs="仿宋"/>
          <w:bCs/>
          <w:sz w:val="32"/>
          <w:szCs w:val="32"/>
        </w:rPr>
        <w:t>重点污染源视频监控系统光纤租用费、重点污染源视频监控系统运行维护费</w:t>
      </w:r>
      <w:r>
        <w:rPr>
          <w:rFonts w:hint="eastAsia" w:ascii="仿宋" w:hAnsi="仿宋" w:eastAsia="仿宋" w:cs="仿宋"/>
          <w:sz w:val="32"/>
          <w:szCs w:val="32"/>
        </w:rPr>
        <w:t>、</w:t>
      </w:r>
      <w:r>
        <w:rPr>
          <w:rFonts w:hint="eastAsia" w:ascii="仿宋" w:hAnsi="仿宋" w:eastAsia="仿宋" w:cs="仿宋"/>
          <w:bCs/>
          <w:sz w:val="32"/>
          <w:szCs w:val="32"/>
        </w:rPr>
        <w:t>污染源自动监控系统数据维护项目、移动执法系统技术支撑服务项目等</w:t>
      </w:r>
      <w:r>
        <w:rPr>
          <w:rFonts w:ascii="仿宋" w:hAnsi="仿宋" w:eastAsia="仿宋" w:cs="仿宋"/>
          <w:bCs/>
          <w:sz w:val="32"/>
          <w:szCs w:val="32"/>
        </w:rPr>
        <w:t>子项目</w:t>
      </w:r>
      <w:r>
        <w:rPr>
          <w:rFonts w:hint="eastAsia" w:ascii="仿宋" w:hAnsi="仿宋" w:eastAsia="仿宋" w:cs="仿宋"/>
          <w:bCs/>
          <w:sz w:val="32"/>
          <w:szCs w:val="32"/>
        </w:rPr>
        <w:t>，</w:t>
      </w:r>
      <w:r>
        <w:rPr>
          <w:rFonts w:ascii="仿宋" w:hAnsi="仿宋" w:eastAsia="仿宋" w:cs="仿宋"/>
          <w:bCs/>
          <w:sz w:val="32"/>
          <w:szCs w:val="32"/>
        </w:rPr>
        <w:t>根据工作</w:t>
      </w:r>
      <w:r>
        <w:rPr>
          <w:rFonts w:hint="eastAsia" w:ascii="仿宋" w:hAnsi="仿宋" w:eastAsia="仿宋" w:cs="仿宋"/>
          <w:bCs/>
          <w:sz w:val="32"/>
          <w:szCs w:val="32"/>
        </w:rPr>
        <w:t>要求</w:t>
      </w:r>
      <w:r>
        <w:rPr>
          <w:rFonts w:ascii="仿宋" w:hAnsi="仿宋" w:eastAsia="仿宋" w:cs="仿宋"/>
          <w:bCs/>
          <w:sz w:val="32"/>
          <w:szCs w:val="32"/>
        </w:rPr>
        <w:t>，</w:t>
      </w:r>
      <w:r>
        <w:rPr>
          <w:rFonts w:hint="eastAsia" w:ascii="仿宋" w:hAnsi="仿宋" w:eastAsia="仿宋" w:cs="仿宋"/>
          <w:bCs/>
          <w:sz w:val="32"/>
          <w:szCs w:val="32"/>
        </w:rPr>
        <w:t>现</w:t>
      </w:r>
      <w:r>
        <w:rPr>
          <w:rFonts w:ascii="仿宋" w:hAnsi="仿宋" w:eastAsia="仿宋" w:cs="仿宋"/>
          <w:bCs/>
          <w:sz w:val="32"/>
          <w:szCs w:val="32"/>
        </w:rPr>
        <w:t>自评如下：</w:t>
      </w:r>
    </w:p>
    <w:p>
      <w:pPr>
        <w:adjustRightInd w:val="0"/>
        <w:snapToGrid w:val="0"/>
        <w:spacing w:line="600" w:lineRule="exact"/>
        <w:ind w:firstLine="720"/>
        <w:rPr>
          <w:rFonts w:hint="eastAsia"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hint="eastAsia" w:ascii="仿宋" w:hAnsi="仿宋" w:eastAsia="仿宋" w:cs="仿宋"/>
          <w:bCs/>
          <w:sz w:val="32"/>
          <w:szCs w:val="32"/>
          <w:lang w:val="zh-CN"/>
        </w:rPr>
      </w:pPr>
      <w:r>
        <w:rPr>
          <w:rFonts w:hint="eastAsia" w:ascii="楷体_GB2312" w:hAnsi="宋体" w:eastAsia="楷体_GB2312"/>
          <w:b/>
          <w:sz w:val="32"/>
          <w:szCs w:val="32"/>
          <w:lang w:val="zh-CN"/>
        </w:rPr>
        <w:t>（一）项目资金申报及批复情况。</w:t>
      </w:r>
      <w:r>
        <w:rPr>
          <w:rFonts w:hint="eastAsia" w:ascii="仿宋" w:hAnsi="仿宋" w:eastAsia="仿宋" w:cs="仿宋"/>
          <w:bCs/>
          <w:sz w:val="32"/>
          <w:szCs w:val="32"/>
        </w:rPr>
        <w:t>根据原《环境保护部﹤2016年生态环境大数据建设总体方案﹥》、《环境行政处罚办法》、《生态环境部﹤关于加强重点排污单位自动监控建设工作的通知﹥》（环办环监（2018）25号）有关要求，2019年经省财评中心对信息化建设及运行维护项目审核预算为469.47万元，于2020年6月予以批复，2020年向省财政厅按要求申请</w:t>
      </w:r>
      <w:r>
        <w:rPr>
          <w:rFonts w:hint="eastAsia" w:ascii="仿宋" w:hAnsi="仿宋" w:eastAsia="仿宋" w:cs="仿宋"/>
          <w:bCs/>
          <w:sz w:val="32"/>
          <w:szCs w:val="32"/>
          <w:lang w:eastAsia="zh-CN"/>
        </w:rPr>
        <w:t>调减</w:t>
      </w:r>
      <w:r>
        <w:rPr>
          <w:rFonts w:hint="eastAsia" w:ascii="仿宋" w:hAnsi="仿宋" w:eastAsia="仿宋" w:cs="仿宋"/>
          <w:bCs/>
          <w:sz w:val="32"/>
          <w:szCs w:val="32"/>
        </w:rPr>
        <w:t>预算94.8万元。</w:t>
      </w:r>
    </w:p>
    <w:p>
      <w:pPr>
        <w:adjustRightInd w:val="0"/>
        <w:snapToGrid w:val="0"/>
        <w:spacing w:line="600" w:lineRule="exact"/>
        <w:ind w:firstLine="720"/>
        <w:rPr>
          <w:rFonts w:hint="eastAsia" w:ascii="仿宋_GB2312" w:hAnsi="宋体" w:eastAsia="仿宋_GB2312"/>
          <w:sz w:val="32"/>
          <w:szCs w:val="32"/>
          <w:lang w:val="zh-CN"/>
        </w:rPr>
      </w:pPr>
      <w:r>
        <w:rPr>
          <w:rFonts w:hint="eastAsia" w:ascii="楷体_GB2312" w:hAnsi="宋体" w:eastAsia="楷体_GB2312"/>
          <w:b/>
          <w:sz w:val="32"/>
          <w:szCs w:val="32"/>
          <w:lang w:val="zh-CN"/>
        </w:rPr>
        <w:t>（二）项目绩效目标。</w:t>
      </w:r>
      <w:r>
        <w:rPr>
          <w:rFonts w:hint="eastAsia" w:ascii="仿宋" w:hAnsi="仿宋" w:eastAsia="仿宋" w:cs="仿宋"/>
          <w:sz w:val="32"/>
          <w:szCs w:val="32"/>
        </w:rPr>
        <w:t>通过实施重点污染源视频监控系统光纤租用、重点污染源视频监控系统运行维护费、重点污染源自动监控数据维护及软件优化、移动执法系统优化及技术支撑服务，确保我省已安装视频监控设备的重点污染源正常稳定传输，保障重点污染源自动监控数据有效传输率90%以上，保障移动执法系统正常运行，提升全省自动监控数据质量，提高全省环境监察业务信息化程度。</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1．资金计划及到位。</w:t>
      </w:r>
      <w:r>
        <w:rPr>
          <w:rFonts w:hint="eastAsia" w:ascii="仿宋_GB2312" w:hAnsi="宋体" w:eastAsia="仿宋_GB2312"/>
          <w:sz w:val="32"/>
          <w:szCs w:val="32"/>
          <w:lang w:val="zh-CN"/>
        </w:rPr>
        <w:t>截止目前</w:t>
      </w:r>
      <w:r>
        <w:rPr>
          <w:rFonts w:ascii="仿宋_GB2312" w:hAnsi="宋体" w:eastAsia="仿宋_GB2312"/>
          <w:sz w:val="32"/>
          <w:szCs w:val="32"/>
          <w:lang w:val="zh-CN"/>
        </w:rPr>
        <w:t>，申报资金按计划</w:t>
      </w:r>
      <w:r>
        <w:rPr>
          <w:rFonts w:hint="eastAsia" w:ascii="仿宋_GB2312" w:hAnsi="宋体" w:eastAsia="仿宋_GB2312"/>
          <w:sz w:val="32"/>
          <w:szCs w:val="32"/>
          <w:lang w:val="en-US" w:eastAsia="zh-CN"/>
        </w:rPr>
        <w:t>全部划转</w:t>
      </w:r>
      <w:r>
        <w:rPr>
          <w:rFonts w:ascii="仿宋_GB2312" w:hAnsi="宋体" w:eastAsia="仿宋_GB2312"/>
          <w:sz w:val="32"/>
          <w:szCs w:val="32"/>
          <w:lang w:val="zh-CN"/>
        </w:rPr>
        <w:t>到位</w:t>
      </w:r>
      <w:r>
        <w:rPr>
          <w:rFonts w:hint="eastAsia" w:ascii="仿宋_GB2312" w:hAnsi="宋体" w:eastAsia="仿宋_GB2312"/>
          <w:sz w:val="32"/>
          <w:szCs w:val="32"/>
          <w:lang w:val="zh-CN"/>
        </w:rPr>
        <w:t>。</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sz w:val="32"/>
          <w:szCs w:val="32"/>
          <w:lang w:val="zh-CN"/>
        </w:rPr>
        <w:t>2．资金使用。</w:t>
      </w:r>
      <w:r>
        <w:rPr>
          <w:rFonts w:hint="eastAsia" w:ascii="仿宋_GB2312" w:hAnsi="宋体" w:eastAsia="仿宋_GB2312"/>
          <w:sz w:val="32"/>
          <w:szCs w:val="32"/>
          <w:lang w:val="zh-CN"/>
        </w:rPr>
        <w:t>截至目前，项目依法</w:t>
      </w:r>
      <w:r>
        <w:rPr>
          <w:rFonts w:ascii="仿宋_GB2312" w:hAnsi="宋体" w:eastAsia="仿宋_GB2312"/>
          <w:sz w:val="32"/>
          <w:szCs w:val="32"/>
          <w:lang w:val="zh-CN"/>
        </w:rPr>
        <w:t>依规</w:t>
      </w:r>
      <w:r>
        <w:rPr>
          <w:rFonts w:hint="eastAsia" w:ascii="仿宋_GB2312" w:hAnsi="宋体" w:eastAsia="仿宋_GB2312"/>
          <w:sz w:val="32"/>
          <w:szCs w:val="32"/>
          <w:lang w:val="zh-CN"/>
        </w:rPr>
        <w:t>支出374.05万</w:t>
      </w:r>
      <w:r>
        <w:rPr>
          <w:rFonts w:ascii="仿宋_GB2312" w:hAnsi="宋体" w:eastAsia="仿宋_GB2312"/>
          <w:sz w:val="32"/>
          <w:szCs w:val="32"/>
          <w:lang w:val="zh-CN"/>
        </w:rPr>
        <w:t>元</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按照项目资金管理办法，</w:t>
      </w:r>
      <w:r>
        <w:rPr>
          <w:rFonts w:hint="eastAsia" w:ascii="仿宋" w:hAnsi="仿宋" w:eastAsia="仿宋" w:cs="仿宋"/>
          <w:sz w:val="32"/>
          <w:szCs w:val="32"/>
        </w:rPr>
        <w:t>信息化建设及运行维护项目</w:t>
      </w:r>
      <w:r>
        <w:rPr>
          <w:rFonts w:hint="eastAsia" w:ascii="仿宋_GB2312" w:hAnsi="宋体" w:eastAsia="仿宋_GB2312"/>
          <w:sz w:val="32"/>
          <w:szCs w:val="32"/>
          <w:lang w:val="zh-CN"/>
        </w:rPr>
        <w:t>严格执行财务管理制度、财务处理及时、会计核算规范。目前该项目已实施完毕。</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hint="default" w:ascii="仿宋_GB2312" w:hAnsi="宋体" w:eastAsia="仿宋_GB2312"/>
          <w:sz w:val="32"/>
          <w:szCs w:val="32"/>
          <w:lang w:val="en-US" w:eastAsia="zh-CN"/>
        </w:rPr>
      </w:pPr>
      <w:r>
        <w:rPr>
          <w:rFonts w:hint="eastAsia" w:ascii="仿宋_GB2312" w:hAnsi="宋体" w:eastAsia="仿宋_GB2312"/>
          <w:sz w:val="32"/>
          <w:szCs w:val="32"/>
          <w:lang w:val="zh-CN"/>
        </w:rPr>
        <w:t>项目</w:t>
      </w:r>
      <w:r>
        <w:rPr>
          <w:rFonts w:ascii="仿宋_GB2312" w:hAnsi="宋体" w:eastAsia="仿宋_GB2312"/>
          <w:sz w:val="32"/>
          <w:szCs w:val="32"/>
          <w:lang w:val="zh-CN"/>
        </w:rPr>
        <w:t>在纪检监察部门</w:t>
      </w:r>
      <w:r>
        <w:rPr>
          <w:rFonts w:hint="eastAsia" w:ascii="仿宋_GB2312" w:hAnsi="宋体" w:eastAsia="仿宋_GB2312"/>
          <w:sz w:val="32"/>
          <w:szCs w:val="32"/>
          <w:lang w:val="zh-CN"/>
        </w:rPr>
        <w:t>监督</w:t>
      </w:r>
      <w:r>
        <w:rPr>
          <w:rFonts w:ascii="仿宋_GB2312" w:hAnsi="宋体" w:eastAsia="仿宋_GB2312"/>
          <w:sz w:val="32"/>
          <w:szCs w:val="32"/>
          <w:lang w:val="zh-CN"/>
        </w:rPr>
        <w:t>下，</w:t>
      </w:r>
      <w:r>
        <w:rPr>
          <w:rFonts w:hint="eastAsia" w:ascii="仿宋_GB2312" w:hAnsi="宋体" w:eastAsia="仿宋_GB2312"/>
          <w:sz w:val="32"/>
          <w:szCs w:val="32"/>
          <w:lang w:val="zh-CN"/>
        </w:rPr>
        <w:t>经会议</w:t>
      </w:r>
      <w:r>
        <w:rPr>
          <w:rFonts w:ascii="仿宋_GB2312" w:hAnsi="宋体" w:eastAsia="仿宋_GB2312"/>
          <w:sz w:val="32"/>
          <w:szCs w:val="32"/>
          <w:lang w:val="zh-CN"/>
        </w:rPr>
        <w:t>研究，</w:t>
      </w:r>
      <w:r>
        <w:rPr>
          <w:rFonts w:hint="eastAsia" w:ascii="仿宋_GB2312" w:hAnsi="宋体" w:eastAsia="仿宋_GB2312"/>
          <w:sz w:val="32"/>
          <w:szCs w:val="32"/>
          <w:lang w:val="en-US" w:eastAsia="zh-CN"/>
        </w:rPr>
        <w:t>按照</w:t>
      </w:r>
      <w:r>
        <w:rPr>
          <w:rFonts w:ascii="仿宋_GB2312" w:hAnsi="宋体" w:eastAsia="仿宋_GB2312"/>
          <w:sz w:val="32"/>
          <w:szCs w:val="32"/>
          <w:lang w:val="zh-CN"/>
        </w:rPr>
        <w:t>政府采购或非政府采购有关要求，</w:t>
      </w:r>
      <w:r>
        <w:rPr>
          <w:rFonts w:hint="eastAsia" w:ascii="仿宋_GB2312" w:hAnsi="宋体" w:eastAsia="仿宋_GB2312"/>
          <w:sz w:val="32"/>
          <w:szCs w:val="32"/>
          <w:lang w:val="en-US" w:eastAsia="zh-CN"/>
        </w:rPr>
        <w:t>委托</w:t>
      </w:r>
      <w:r>
        <w:rPr>
          <w:rFonts w:ascii="仿宋_GB2312" w:hAnsi="宋体" w:eastAsia="仿宋_GB2312"/>
          <w:sz w:val="32"/>
          <w:szCs w:val="32"/>
          <w:lang w:val="zh-CN"/>
        </w:rPr>
        <w:t>第三</w:t>
      </w:r>
      <w:r>
        <w:rPr>
          <w:rFonts w:hint="eastAsia" w:ascii="仿宋_GB2312" w:hAnsi="宋体" w:eastAsia="仿宋_GB2312"/>
          <w:sz w:val="32"/>
          <w:szCs w:val="32"/>
          <w:lang w:val="zh-CN"/>
        </w:rPr>
        <w:t>方</w:t>
      </w:r>
      <w:r>
        <w:rPr>
          <w:rFonts w:hint="eastAsia" w:ascii="仿宋_GB2312" w:hAnsi="宋体" w:eastAsia="仿宋_GB2312"/>
          <w:sz w:val="32"/>
          <w:szCs w:val="32"/>
          <w:lang w:val="en-US" w:eastAsia="zh-CN"/>
        </w:rPr>
        <w:t>招标代理</w:t>
      </w:r>
      <w:r>
        <w:rPr>
          <w:rFonts w:ascii="仿宋_GB2312" w:hAnsi="宋体" w:eastAsia="仿宋_GB2312"/>
          <w:sz w:val="32"/>
          <w:szCs w:val="32"/>
          <w:lang w:val="zh-CN"/>
        </w:rPr>
        <w:t>机构</w:t>
      </w:r>
      <w:r>
        <w:rPr>
          <w:rFonts w:hint="eastAsia" w:ascii="仿宋_GB2312" w:hAnsi="宋体" w:eastAsia="仿宋_GB2312"/>
          <w:sz w:val="32"/>
          <w:szCs w:val="32"/>
          <w:lang w:val="en-US" w:eastAsia="zh-CN"/>
        </w:rPr>
        <w:t>完成</w:t>
      </w:r>
      <w:r>
        <w:rPr>
          <w:rFonts w:ascii="仿宋_GB2312" w:hAnsi="宋体" w:eastAsia="仿宋_GB2312"/>
          <w:sz w:val="32"/>
          <w:szCs w:val="32"/>
          <w:lang w:val="zh-CN"/>
        </w:rPr>
        <w:t>招标</w:t>
      </w:r>
      <w:r>
        <w:rPr>
          <w:rFonts w:hint="eastAsia" w:ascii="仿宋_GB2312" w:hAnsi="宋体" w:eastAsia="仿宋_GB2312"/>
          <w:sz w:val="32"/>
          <w:szCs w:val="32"/>
          <w:lang w:val="zh-CN"/>
        </w:rPr>
        <w:t>工作，</w:t>
      </w:r>
      <w:r>
        <w:rPr>
          <w:rFonts w:hint="eastAsia" w:ascii="仿宋_GB2312" w:hAnsi="宋体" w:eastAsia="仿宋_GB2312"/>
          <w:sz w:val="32"/>
          <w:szCs w:val="32"/>
          <w:lang w:val="en-US" w:eastAsia="zh-CN"/>
        </w:rPr>
        <w:t>确保项目采购公开、透明</w:t>
      </w:r>
      <w:r>
        <w:rPr>
          <w:rFonts w:ascii="仿宋_GB2312" w:hAnsi="宋体" w:eastAsia="仿宋_GB2312"/>
          <w:sz w:val="32"/>
          <w:szCs w:val="32"/>
          <w:lang w:val="zh-CN"/>
        </w:rPr>
        <w:t>。</w:t>
      </w:r>
      <w:r>
        <w:rPr>
          <w:rFonts w:hint="eastAsia" w:ascii="仿宋_GB2312" w:hAnsi="宋体" w:eastAsia="仿宋_GB2312"/>
          <w:sz w:val="32"/>
          <w:szCs w:val="32"/>
          <w:lang w:val="en-US" w:eastAsia="zh-CN"/>
        </w:rPr>
        <w:t>严格项目过程管理，制定项目考核管理制度，严格按照项目合同要求，指定专人开展项目日常考核，确保项目按照合同约定的服务内容、质量标准和进度计划实施。</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（一）项目完成情况。</w:t>
      </w:r>
      <w:r>
        <w:rPr>
          <w:rFonts w:hint="eastAsia" w:ascii="仿宋_GB2312" w:hAnsi="宋体" w:eastAsia="仿宋_GB2312"/>
          <w:sz w:val="32"/>
          <w:szCs w:val="32"/>
          <w:lang w:val="zh-CN"/>
        </w:rPr>
        <w:t>信息化建设及运行维护费项严格</w:t>
      </w:r>
      <w:r>
        <w:rPr>
          <w:rFonts w:ascii="仿宋_GB2312" w:hAnsi="宋体" w:eastAsia="仿宋_GB2312"/>
          <w:sz w:val="32"/>
          <w:szCs w:val="32"/>
          <w:lang w:val="zh-CN"/>
        </w:rPr>
        <w:t>按照项目申报</w:t>
      </w:r>
      <w:r>
        <w:rPr>
          <w:rFonts w:hint="eastAsia" w:ascii="仿宋_GB2312" w:hAnsi="宋体" w:eastAsia="仿宋_GB2312"/>
          <w:sz w:val="32"/>
          <w:szCs w:val="32"/>
          <w:lang w:val="zh-CN"/>
        </w:rPr>
        <w:t>时的任务量、质量标准、进度计划、成本控制目标等方面严格实施。</w:t>
      </w:r>
    </w:p>
    <w:p>
      <w:pPr>
        <w:adjustRightInd w:val="0"/>
        <w:snapToGrid w:val="0"/>
        <w:spacing w:line="600" w:lineRule="exact"/>
        <w:ind w:firstLine="720"/>
        <w:rPr>
          <w:rFonts w:hint="eastAsia" w:ascii="仿宋_GB2312" w:hAnsi="宋体" w:eastAsia="仿宋_GB2312"/>
          <w:sz w:val="32"/>
          <w:szCs w:val="32"/>
          <w:lang w:val="en-US" w:eastAsia="zh-CN"/>
        </w:rPr>
      </w:pPr>
      <w:r>
        <w:rPr>
          <w:rFonts w:hint="eastAsia" w:ascii="楷体_GB2312" w:hAnsi="宋体" w:eastAsia="楷体_GB2312"/>
          <w:b/>
          <w:sz w:val="32"/>
          <w:szCs w:val="32"/>
          <w:lang w:val="zh-CN"/>
        </w:rPr>
        <w:t>（二）项目效益情况。</w:t>
      </w:r>
      <w:r>
        <w:rPr>
          <w:rFonts w:hint="eastAsia" w:ascii="仿宋_GB2312" w:hAnsi="宋体" w:eastAsia="仿宋_GB2312"/>
          <w:sz w:val="32"/>
          <w:szCs w:val="32"/>
          <w:lang w:val="en-US" w:eastAsia="zh-CN"/>
        </w:rPr>
        <w:t>通过项目实施，保障我省</w:t>
      </w:r>
      <w:r>
        <w:rPr>
          <w:rFonts w:hint="eastAsia" w:ascii="仿宋_GB2312" w:hAnsi="宋体" w:eastAsia="仿宋_GB2312"/>
          <w:sz w:val="32"/>
          <w:szCs w:val="32"/>
          <w:lang w:val="zh-CN"/>
        </w:rPr>
        <w:t>重点污染源视频监控、</w:t>
      </w:r>
      <w:r>
        <w:rPr>
          <w:rFonts w:hint="eastAsia" w:ascii="仿宋_GB2312" w:hAnsi="宋体" w:eastAsia="仿宋_GB2312"/>
          <w:sz w:val="32"/>
          <w:szCs w:val="32"/>
          <w:lang w:val="en-US" w:eastAsia="zh-CN"/>
        </w:rPr>
        <w:t>自动监控系统稳定运行，排污单位污染物排放视频监控图像和自动监测数据稳定传输至生态环境部门，为各级生态环境部门实施非现场监管执法提供支撑。根据执法需求，优化完善移动执法系统功能，保障全省各级执法机构执法办案需求，有效提升环境行政执法行为规范性和效率。</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00" w:lineRule="exact"/>
        <w:ind w:firstLine="720"/>
        <w:rPr>
          <w:rFonts w:hint="eastAsia" w:ascii="仿宋_GB2312" w:hAnsi="仿宋_GB2312" w:eastAsia="仿宋_GB2312" w:cs="仿宋_GB2312"/>
          <w:color w:val="auto"/>
          <w:sz w:val="32"/>
          <w:szCs w:val="32"/>
          <w:shd w:val="clear" w:color="auto" w:fill="FFFFFF"/>
        </w:rPr>
      </w:pPr>
      <w:r>
        <w:rPr>
          <w:rFonts w:hint="eastAsia" w:ascii="楷体_GB2312" w:hAnsi="宋体" w:eastAsia="楷体_GB2312"/>
          <w:b/>
          <w:sz w:val="32"/>
          <w:szCs w:val="32"/>
          <w:lang w:val="zh-CN"/>
        </w:rPr>
        <w:t>（一）存在的问题。</w:t>
      </w:r>
      <w:r>
        <w:rPr>
          <w:rFonts w:hint="eastAsia" w:ascii="仿宋_GB2312" w:hAnsi="仿宋_GB2312" w:eastAsia="仿宋_GB2312" w:cs="仿宋_GB2312"/>
          <w:color w:val="auto"/>
          <w:sz w:val="32"/>
          <w:szCs w:val="32"/>
        </w:rPr>
        <w:t>信息化建设及运行维护费</w:t>
      </w:r>
      <w:r>
        <w:rPr>
          <w:rFonts w:hint="eastAsia" w:ascii="仿宋_GB2312" w:hAnsi="仿宋_GB2312" w:eastAsia="仿宋_GB2312" w:cs="仿宋_GB2312"/>
          <w:color w:val="auto"/>
          <w:sz w:val="32"/>
          <w:szCs w:val="32"/>
          <w:shd w:val="clear" w:color="auto" w:fill="FFFFFF"/>
        </w:rPr>
        <w:t>项目中子</w:t>
      </w:r>
      <w:r>
        <w:rPr>
          <w:rFonts w:ascii="仿宋_GB2312" w:hAnsi="仿宋_GB2312" w:eastAsia="仿宋_GB2312" w:cs="仿宋_GB2312"/>
          <w:color w:val="auto"/>
          <w:sz w:val="32"/>
          <w:szCs w:val="32"/>
          <w:shd w:val="clear" w:color="auto" w:fill="FFFFFF"/>
        </w:rPr>
        <w:t>项目</w:t>
      </w:r>
      <w:r>
        <w:rPr>
          <w:rFonts w:hint="eastAsia" w:ascii="仿宋_GB2312" w:hAnsi="仿宋_GB2312" w:eastAsia="仿宋_GB2312" w:cs="仿宋_GB2312"/>
          <w:color w:val="auto"/>
          <w:sz w:val="32"/>
          <w:szCs w:val="32"/>
          <w:shd w:val="clear" w:color="auto" w:fill="FFFFFF"/>
        </w:rPr>
        <w:t>重点污染源视频监控系统光纤租用中标</w:t>
      </w:r>
      <w:r>
        <w:rPr>
          <w:rFonts w:hint="eastAsia" w:ascii="仿宋_GB2312" w:hAnsi="仿宋_GB2312" w:eastAsia="仿宋_GB2312" w:cs="仿宋_GB2312"/>
          <w:color w:val="auto"/>
          <w:sz w:val="32"/>
          <w:szCs w:val="32"/>
          <w:shd w:val="clear" w:color="auto" w:fill="FFFFFF"/>
          <w:lang w:eastAsia="zh-CN"/>
        </w:rPr>
        <w:t>价低于预算数</w:t>
      </w:r>
      <w:r>
        <w:rPr>
          <w:rFonts w:hint="eastAsia" w:ascii="仿宋_GB2312" w:hAnsi="仿宋_GB2312" w:eastAsia="仿宋_GB2312" w:cs="仿宋_GB2312"/>
          <w:color w:val="auto"/>
          <w:sz w:val="32"/>
          <w:szCs w:val="32"/>
          <w:shd w:val="clear" w:color="auto" w:fill="FFFFFF"/>
        </w:rPr>
        <w:t>，结余资金94.8万元。</w:t>
      </w:r>
    </w:p>
    <w:p>
      <w:pPr>
        <w:adjustRightInd w:val="0"/>
        <w:snapToGrid w:val="0"/>
        <w:spacing w:line="600" w:lineRule="exact"/>
        <w:ind w:firstLine="643" w:firstLineChars="200"/>
        <w:rPr>
          <w:rFonts w:hint="default" w:ascii="仿宋_GB2312" w:hAnsi="仿宋_GB2312" w:eastAsia="仿宋_GB2312" w:cs="仿宋_GB2312"/>
          <w:color w:val="auto"/>
          <w:kern w:val="0"/>
          <w:sz w:val="32"/>
          <w:szCs w:val="32"/>
          <w:shd w:val="clear" w:color="auto" w:fill="FFFFFF"/>
          <w:lang w:val="en-US" w:eastAsia="zh-CN" w:bidi="ar-SA"/>
        </w:rPr>
      </w:pPr>
      <w:r>
        <w:rPr>
          <w:rFonts w:hint="eastAsia" w:ascii="楷体_GB2312" w:hAnsi="宋体" w:eastAsia="楷体_GB2312"/>
          <w:b/>
          <w:sz w:val="32"/>
          <w:szCs w:val="32"/>
          <w:lang w:val="zh-CN"/>
        </w:rPr>
        <w:t>（二）相关建议。</w:t>
      </w:r>
      <w:r>
        <w:rPr>
          <w:rFonts w:hint="eastAsia" w:ascii="仿宋_GB2312" w:hAnsi="仿宋_GB2312" w:eastAsia="仿宋_GB2312" w:cs="仿宋_GB2312"/>
          <w:color w:val="auto"/>
          <w:kern w:val="0"/>
          <w:sz w:val="32"/>
          <w:szCs w:val="32"/>
          <w:shd w:val="clear" w:color="auto" w:fill="FFFFFF"/>
          <w:lang w:val="en-US" w:eastAsia="zh-CN" w:bidi="ar-SA"/>
        </w:rPr>
        <w:t>建议财务部门加强对项目实施和资金使用方面的政策文件解读，指导项目实施单位合法合规使用资金，提高项目资金使用效率，达到绩效考核要求。</w:t>
      </w:r>
    </w:p>
    <w:p>
      <w:pPr>
        <w:spacing w:line="580" w:lineRule="exact"/>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spacing w:line="600" w:lineRule="exact"/>
        <w:jc w:val="center"/>
        <w:rPr>
          <w:rFonts w:ascii="方正小标宋简体" w:hAnsi="宋体" w:eastAsia="方正小标宋简体"/>
          <w:kern w:val="0"/>
          <w:sz w:val="44"/>
          <w:szCs w:val="44"/>
          <w:lang w:val="zh-CN"/>
        </w:rPr>
      </w:pPr>
      <w:bookmarkStart w:id="53" w:name="_Toc15396618"/>
      <w:r>
        <w:rPr>
          <w:rFonts w:hint="eastAsia" w:ascii="方正小标宋简体" w:hAnsi="宋体" w:eastAsia="方正小标宋简体"/>
          <w:kern w:val="0"/>
          <w:sz w:val="44"/>
          <w:szCs w:val="44"/>
          <w:lang w:val="zh-CN"/>
        </w:rPr>
        <w:t>2020年强化督查和执法专项行动经费项目支出绩效自评报告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sz w:val="32"/>
          <w:szCs w:val="32"/>
        </w:rPr>
        <w:t>2020年受疫情影响，</w:t>
      </w:r>
      <w:r>
        <w:rPr>
          <w:rFonts w:hint="eastAsia" w:ascii="仿宋" w:hAnsi="仿宋" w:eastAsia="仿宋"/>
          <w:sz w:val="32"/>
          <w:szCs w:val="32"/>
        </w:rPr>
        <w:t>同时落实政府过紧日子要求，年初压减该项目经费8.76万元。</w:t>
      </w:r>
      <w:r>
        <w:rPr>
          <w:rFonts w:hint="eastAsia" w:ascii="仿宋_GB2312" w:hAnsi="仿宋_GB2312" w:eastAsia="仿宋_GB2312" w:cs="仿宋_GB2312"/>
          <w:color w:val="000000" w:themeColor="text1"/>
          <w:sz w:val="32"/>
          <w:szCs w:val="32"/>
          <w14:textFill>
            <w14:solidFill>
              <w14:schemeClr w14:val="tx1"/>
            </w14:solidFill>
          </w14:textFill>
        </w:rPr>
        <w:t>通过强化督查和执法专项行动，持续保持执法高压态势，被督查地区大气环境质量持续好转，空气优良天数持续上升。进一步夯实了地方党委政府生态环境保护职责,推动</w:t>
      </w:r>
      <w:r>
        <w:rPr>
          <w:rFonts w:ascii="仿宋_GB2312" w:hAnsi="仿宋_GB2312" w:eastAsia="仿宋_GB2312" w:cs="仿宋_GB2312"/>
          <w:color w:val="000000" w:themeColor="text1"/>
          <w:sz w:val="32"/>
          <w:szCs w:val="32"/>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一批突出生态环境问题及时得到解决，美丽四川建设扎实推进。</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仿宋_GB2312" w:eastAsia="仿宋_GB2312" w:cs="仿宋_GB2312"/>
          <w:color w:val="000000" w:themeColor="text1"/>
          <w:sz w:val="32"/>
          <w:szCs w:val="32"/>
          <w14:textFill>
            <w14:solidFill>
              <w14:schemeClr w14:val="tx1"/>
            </w14:solidFill>
          </w14:textFill>
        </w:rPr>
        <w:t>该</w:t>
      </w:r>
      <w:r>
        <w:rPr>
          <w:rFonts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已</w:t>
      </w:r>
      <w:r>
        <w:rPr>
          <w:rFonts w:ascii="仿宋_GB2312" w:hAnsi="仿宋_GB2312" w:eastAsia="仿宋_GB2312" w:cs="仿宋_GB2312"/>
          <w:color w:val="000000" w:themeColor="text1"/>
          <w:sz w:val="32"/>
          <w:szCs w:val="32"/>
          <w14:textFill>
            <w14:solidFill>
              <w14:schemeClr w14:val="tx1"/>
            </w14:solidFill>
          </w14:textFill>
        </w:rPr>
        <w:t>按计划实施，</w:t>
      </w:r>
      <w:r>
        <w:rPr>
          <w:rFonts w:hint="eastAsia" w:ascii="仿宋_GB2312" w:hAnsi="宋体" w:eastAsia="仿宋_GB2312"/>
          <w:sz w:val="32"/>
          <w:szCs w:val="32"/>
          <w:lang w:val="zh-CN"/>
        </w:rPr>
        <w:t>项目申报内容与具体实施内容相符、申报目标合理。</w:t>
      </w:r>
    </w:p>
    <w:p>
      <w:pPr>
        <w:adjustRightInd w:val="0"/>
        <w:snapToGrid w:val="0"/>
        <w:spacing w:line="600" w:lineRule="exact"/>
        <w:ind w:firstLine="640" w:firstLineChars="20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按照项目资金管理办法，</w:t>
      </w:r>
      <w:r>
        <w:rPr>
          <w:rFonts w:hint="eastAsia" w:ascii="仿宋_GB2312" w:hAnsi="仿宋_GB2312" w:eastAsia="仿宋_GB2312" w:cs="仿宋_GB2312"/>
          <w:color w:val="000000" w:themeColor="text1"/>
          <w:sz w:val="32"/>
          <w:szCs w:val="32"/>
          <w14:textFill>
            <w14:solidFill>
              <w14:schemeClr w14:val="tx1"/>
            </w14:solidFill>
          </w14:textFill>
        </w:rPr>
        <w:t>强化督查和执法专项行动</w:t>
      </w:r>
      <w:r>
        <w:rPr>
          <w:rFonts w:hint="eastAsia" w:ascii="仿宋_GB2312" w:hAnsi="宋体" w:eastAsia="仿宋_GB2312"/>
          <w:sz w:val="32"/>
          <w:szCs w:val="32"/>
          <w:lang w:val="zh-CN"/>
        </w:rPr>
        <w:t>项目严格执行财务管理制度、财务处理及时、会计核算规范。</w:t>
      </w:r>
      <w:r>
        <w:rPr>
          <w:rFonts w:hint="eastAsia" w:ascii="仿宋" w:hAnsi="仿宋" w:eastAsia="仿宋"/>
          <w:sz w:val="32"/>
          <w:szCs w:val="32"/>
        </w:rPr>
        <w:t>目前</w:t>
      </w:r>
      <w:r>
        <w:rPr>
          <w:rFonts w:hint="eastAsia" w:ascii="仿宋_GB2312" w:hAnsi="宋体" w:eastAsia="仿宋_GB2312"/>
          <w:sz w:val="32"/>
          <w:szCs w:val="32"/>
          <w:lang w:val="zh-CN"/>
        </w:rPr>
        <w:t>该</w:t>
      </w:r>
      <w:r>
        <w:rPr>
          <w:rFonts w:ascii="仿宋_GB2312" w:hAnsi="宋体" w:eastAsia="仿宋_GB2312"/>
          <w:sz w:val="32"/>
          <w:szCs w:val="32"/>
          <w:lang w:val="zh-CN"/>
        </w:rPr>
        <w:t>项目已</w:t>
      </w:r>
      <w:r>
        <w:rPr>
          <w:rFonts w:hint="eastAsia" w:ascii="仿宋_GB2312" w:hAnsi="宋体" w:eastAsia="仿宋_GB2312"/>
          <w:sz w:val="32"/>
          <w:szCs w:val="32"/>
          <w:lang w:val="zh-CN"/>
        </w:rPr>
        <w:t>实施</w:t>
      </w:r>
      <w:r>
        <w:rPr>
          <w:rFonts w:ascii="仿宋_GB2312" w:hAnsi="宋体" w:eastAsia="仿宋_GB2312"/>
          <w:sz w:val="32"/>
          <w:szCs w:val="32"/>
          <w:lang w:val="zh-CN"/>
        </w:rPr>
        <w:t>完毕。</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一是</w:t>
      </w:r>
      <w:r>
        <w:rPr>
          <w:rFonts w:ascii="仿宋_GB2312" w:hAnsi="仿宋_GB2312" w:eastAsia="仿宋_GB2312" w:cs="仿宋_GB2312"/>
          <w:color w:val="000000" w:themeColor="text1"/>
          <w:sz w:val="32"/>
          <w:szCs w:val="32"/>
          <w14:textFill>
            <w14:solidFill>
              <w14:schemeClr w14:val="tx1"/>
            </w14:solidFill>
          </w14:textFill>
        </w:rPr>
        <w:t>开展</w:t>
      </w:r>
      <w:r>
        <w:rPr>
          <w:rFonts w:hint="eastAsia" w:ascii="仿宋_GB2312" w:hAnsi="仿宋_GB2312" w:eastAsia="仿宋_GB2312" w:cs="仿宋_GB2312"/>
          <w:color w:val="000000" w:themeColor="text1"/>
          <w:sz w:val="32"/>
          <w:szCs w:val="32"/>
          <w14:textFill>
            <w14:solidFill>
              <w14:schemeClr w14:val="tx1"/>
            </w14:solidFill>
          </w14:textFill>
        </w:rPr>
        <w:t>长江经济带</w:t>
      </w:r>
      <w:r>
        <w:rPr>
          <w:rFonts w:ascii="仿宋_GB2312" w:hAnsi="仿宋_GB2312" w:eastAsia="仿宋_GB2312" w:cs="仿宋_GB2312"/>
          <w:color w:val="000000" w:themeColor="text1"/>
          <w:sz w:val="32"/>
          <w:szCs w:val="32"/>
          <w14:textFill>
            <w14:solidFill>
              <w14:schemeClr w14:val="tx1"/>
            </w14:solidFill>
          </w14:textFill>
        </w:rPr>
        <w:t>突出环境问题暗查暗访工作</w:t>
      </w:r>
      <w:r>
        <w:rPr>
          <w:rFonts w:hint="eastAsia" w:ascii="仿宋_GB2312" w:hAnsi="仿宋_GB2312" w:eastAsia="仿宋_GB2312" w:cs="仿宋_GB2312"/>
          <w:color w:val="000000" w:themeColor="text1"/>
          <w:sz w:val="32"/>
          <w:szCs w:val="32"/>
          <w14:textFill>
            <w14:solidFill>
              <w14:schemeClr w14:val="tx1"/>
            </w14:solidFill>
          </w14:textFill>
        </w:rPr>
        <w:t>。3月18日至6月19日，由9位厅领导带队、有关处室和直属单位牵头，对全省21市（州）开展三轮集中暗查指导，共发现问题点位1841个，初步梳理典型问题70个，与长江经济带警示片反映的问题类型吻合度较高，暴露出生态环境问题形势仍然严峻。暗查发现问题按类型分类分别为，城镇基础设施543个、工业污染347个、水环境质量改善218个、固废污染178个、生态破坏116个、园区基础设施70个、饮用水水源地64个、“三磷”污染46个、大气质量改善及环境风险等其他方面259个。二是夏季臭氧帮扶。7月7日-9月30日，由5位厅领导带队，分5组对10个重点城市开展为期3个月的包片帮扶指导，共出动人员2622人次，车辆300台次，检查企业点位874个，发现问题1862个，针对臭氧污染防控立案查处环境违法案件163件，下达处罚决定29件，处罚金额79.86万元。三是冬季大气污染防治攻坚帮扶。由9位厅领导带队，分6个组赴12个重点城市开展冬季大气污染防治攻坚帮扶，共检查点位1658个，发现问题点位1272个，移交违法线索185条，立案查处违法案件224件。帮扶期间，全省共立案查处涉气类违法案件252件，下达处罚决定79件，处罚金额265万元。四是打击危险废物环境违法犯罪行为专项行动</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2020年打击危险废物环境违法犯罪行为专项行动，全省生态环境系统共出动执法人员13000余人次，共检查点位8204个，查处各类危险废物环境违法案件141起，拟处罚金额229万余元（部分案件正在办理中），发现危险废物环境违法犯罪线索22个，移交公安机关4个，公安机关已立案4个，抓捕犯罪嫌疑人7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adjustRightInd w:val="0"/>
        <w:snapToGrid w:val="0"/>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p>
    <w:p>
      <w:pPr>
        <w:spacing w:line="600" w:lineRule="exact"/>
        <w:jc w:val="center"/>
        <w:rPr>
          <w:rFonts w:hint="eastAsia" w:ascii="方正小标宋简体" w:hAnsi="宋体" w:eastAsia="方正小标宋简体"/>
          <w:kern w:val="0"/>
          <w:sz w:val="44"/>
          <w:szCs w:val="44"/>
          <w:lang w:val="zh-CN"/>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w:t>
      </w:r>
      <w:r>
        <w:rPr>
          <w:rFonts w:hint="eastAsia" w:ascii="方正小标宋简体" w:hAnsi="宋体" w:eastAsia="方正小标宋简体"/>
          <w:kern w:val="0"/>
          <w:sz w:val="44"/>
          <w:szCs w:val="44"/>
        </w:rPr>
        <w:t>0</w:t>
      </w:r>
      <w:r>
        <w:rPr>
          <w:rFonts w:hint="eastAsia" w:ascii="方正小标宋简体" w:hAnsi="宋体" w:eastAsia="方正小标宋简体"/>
          <w:kern w:val="0"/>
          <w:sz w:val="44"/>
          <w:szCs w:val="44"/>
          <w:lang w:val="zh-CN"/>
        </w:rPr>
        <w:t>年聘用人员项目支出绩效自评报告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为保障各类</w:t>
      </w:r>
      <w:r>
        <w:rPr>
          <w:rFonts w:ascii="仿宋_GB2312" w:hAnsi="宋体" w:eastAsia="仿宋_GB2312"/>
          <w:sz w:val="32"/>
          <w:szCs w:val="32"/>
          <w:lang w:val="zh-CN"/>
        </w:rPr>
        <w:t>专项行动</w:t>
      </w:r>
      <w:r>
        <w:rPr>
          <w:rFonts w:hint="eastAsia" w:ascii="仿宋_GB2312" w:hAnsi="宋体" w:eastAsia="仿宋_GB2312"/>
          <w:sz w:val="32"/>
          <w:szCs w:val="32"/>
          <w:lang w:val="zh-CN"/>
        </w:rPr>
        <w:t>和</w:t>
      </w:r>
      <w:r>
        <w:rPr>
          <w:rFonts w:ascii="仿宋_GB2312" w:hAnsi="宋体" w:eastAsia="仿宋_GB2312"/>
          <w:sz w:val="32"/>
          <w:szCs w:val="32"/>
          <w:lang w:val="zh-CN"/>
        </w:rPr>
        <w:t>日常执法活动的</w:t>
      </w:r>
      <w:r>
        <w:rPr>
          <w:rFonts w:hint="eastAsia" w:ascii="仿宋_GB2312" w:hAnsi="宋体" w:eastAsia="仿宋_GB2312"/>
          <w:sz w:val="32"/>
          <w:szCs w:val="32"/>
          <w:lang w:val="zh-CN"/>
        </w:rPr>
        <w:t>顺利</w:t>
      </w:r>
      <w:r>
        <w:rPr>
          <w:rFonts w:ascii="仿宋_GB2312" w:hAnsi="宋体" w:eastAsia="仿宋_GB2312"/>
          <w:sz w:val="32"/>
          <w:szCs w:val="32"/>
          <w:lang w:val="zh-CN"/>
        </w:rPr>
        <w:t>开展，</w:t>
      </w:r>
      <w:r>
        <w:rPr>
          <w:rFonts w:hint="eastAsia" w:ascii="仿宋_GB2312" w:hAnsi="宋体" w:eastAsia="仿宋_GB2312"/>
          <w:sz w:val="32"/>
          <w:szCs w:val="32"/>
          <w:lang w:val="zh-CN"/>
        </w:rPr>
        <w:t>2020年申报</w:t>
      </w:r>
      <w:r>
        <w:rPr>
          <w:rFonts w:ascii="仿宋_GB2312" w:hAnsi="宋体" w:eastAsia="仿宋_GB2312"/>
          <w:sz w:val="32"/>
          <w:szCs w:val="32"/>
          <w:lang w:val="zh-CN"/>
        </w:rPr>
        <w:t>聘用人员资金</w:t>
      </w:r>
      <w:r>
        <w:rPr>
          <w:rFonts w:hint="eastAsia" w:ascii="仿宋_GB2312" w:hAnsi="宋体" w:eastAsia="仿宋_GB2312"/>
          <w:sz w:val="32"/>
          <w:szCs w:val="32"/>
          <w:lang w:val="zh-CN"/>
        </w:rPr>
        <w:t>110万元并</w:t>
      </w:r>
      <w:r>
        <w:rPr>
          <w:rFonts w:ascii="仿宋_GB2312" w:hAnsi="宋体" w:eastAsia="仿宋_GB2312"/>
          <w:sz w:val="32"/>
          <w:szCs w:val="32"/>
          <w:lang w:val="zh-CN"/>
        </w:rPr>
        <w:t>获得批准，</w:t>
      </w:r>
      <w:r>
        <w:rPr>
          <w:rFonts w:hint="eastAsia" w:ascii="仿宋_GB2312" w:hAnsi="宋体" w:eastAsia="仿宋_GB2312"/>
          <w:sz w:val="32"/>
          <w:szCs w:val="32"/>
          <w:lang w:val="zh-CN"/>
        </w:rPr>
        <w:t>严格</w:t>
      </w:r>
      <w:r>
        <w:rPr>
          <w:rFonts w:ascii="仿宋_GB2312" w:hAnsi="宋体" w:eastAsia="仿宋_GB2312"/>
          <w:sz w:val="32"/>
          <w:szCs w:val="32"/>
          <w:lang w:val="zh-CN"/>
        </w:rPr>
        <w:t>按照</w:t>
      </w:r>
      <w:r>
        <w:rPr>
          <w:rFonts w:hint="eastAsia" w:ascii="仿宋_GB2312" w:hAnsi="宋体" w:eastAsia="仿宋_GB2312"/>
          <w:sz w:val="32"/>
          <w:szCs w:val="32"/>
          <w:lang w:val="zh-CN"/>
        </w:rPr>
        <w:t>资金管理办法要求申报</w:t>
      </w:r>
      <w:r>
        <w:rPr>
          <w:rFonts w:ascii="仿宋_GB2312" w:hAnsi="宋体" w:eastAsia="仿宋_GB2312"/>
          <w:sz w:val="32"/>
          <w:szCs w:val="32"/>
          <w:lang w:val="zh-CN"/>
        </w:rPr>
        <w:t>聘用人员，为认真落实过紧日子的</w:t>
      </w:r>
      <w:r>
        <w:rPr>
          <w:rFonts w:hint="eastAsia" w:ascii="仿宋_GB2312" w:hAnsi="宋体" w:eastAsia="仿宋_GB2312"/>
          <w:sz w:val="32"/>
          <w:szCs w:val="32"/>
          <w:lang w:val="zh-CN"/>
        </w:rPr>
        <w:t>总体</w:t>
      </w:r>
      <w:r>
        <w:rPr>
          <w:rFonts w:ascii="仿宋_GB2312" w:hAnsi="宋体" w:eastAsia="仿宋_GB2312"/>
          <w:sz w:val="32"/>
          <w:szCs w:val="32"/>
          <w:lang w:val="zh-CN"/>
        </w:rPr>
        <w:t>要求，聘用</w:t>
      </w:r>
      <w:r>
        <w:rPr>
          <w:rFonts w:hint="eastAsia" w:ascii="仿宋_GB2312" w:hAnsi="宋体" w:eastAsia="仿宋_GB2312"/>
          <w:sz w:val="32"/>
          <w:szCs w:val="32"/>
          <w:lang w:val="zh-CN"/>
        </w:rPr>
        <w:t>3名</w:t>
      </w:r>
      <w:r>
        <w:rPr>
          <w:rFonts w:ascii="仿宋_GB2312" w:hAnsi="宋体" w:eastAsia="仿宋_GB2312"/>
          <w:sz w:val="32"/>
          <w:szCs w:val="32"/>
          <w:lang w:val="zh-CN"/>
        </w:rPr>
        <w:t>工作人员和</w:t>
      </w:r>
      <w:r>
        <w:rPr>
          <w:rFonts w:hint="eastAsia" w:ascii="仿宋_GB2312" w:hAnsi="宋体" w:eastAsia="仿宋_GB2312"/>
          <w:sz w:val="32"/>
          <w:szCs w:val="32"/>
          <w:lang w:val="zh-CN"/>
        </w:rPr>
        <w:t>9名</w:t>
      </w:r>
      <w:r>
        <w:rPr>
          <w:rFonts w:ascii="仿宋_GB2312" w:hAnsi="宋体" w:eastAsia="仿宋_GB2312"/>
          <w:sz w:val="32"/>
          <w:szCs w:val="32"/>
          <w:lang w:val="zh-CN"/>
        </w:rPr>
        <w:t>驾驶员</w:t>
      </w:r>
      <w:r>
        <w:rPr>
          <w:rFonts w:hint="eastAsia" w:ascii="仿宋_GB2312" w:hAnsi="宋体" w:eastAsia="仿宋_GB2312"/>
          <w:sz w:val="32"/>
          <w:szCs w:val="32"/>
          <w:lang w:val="zh-CN"/>
        </w:rPr>
        <w:t>，</w:t>
      </w:r>
      <w:r>
        <w:rPr>
          <w:rFonts w:ascii="仿宋_GB2312" w:hAnsi="宋体" w:eastAsia="仿宋_GB2312"/>
          <w:sz w:val="32"/>
          <w:szCs w:val="32"/>
          <w:lang w:val="zh-CN"/>
        </w:rPr>
        <w:t>实际支出</w:t>
      </w:r>
      <w:r>
        <w:rPr>
          <w:rFonts w:hint="eastAsia" w:ascii="仿宋_GB2312" w:hAnsi="宋体" w:eastAsia="仿宋_GB2312"/>
          <w:sz w:val="32"/>
          <w:szCs w:val="32"/>
          <w:lang w:val="zh-CN"/>
        </w:rPr>
        <w:t>90万元</w:t>
      </w:r>
      <w:r>
        <w:rPr>
          <w:rFonts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按照项目资金管理办法，聘用人员项目严格执行财务管理制度、财务处理及时、会计核算规范。目前该</w:t>
      </w:r>
      <w:r>
        <w:rPr>
          <w:rFonts w:ascii="仿宋_GB2312" w:hAnsi="宋体" w:eastAsia="仿宋_GB2312"/>
          <w:sz w:val="32"/>
          <w:szCs w:val="32"/>
          <w:lang w:val="zh-CN"/>
        </w:rPr>
        <w:t>项目已</w:t>
      </w:r>
      <w:r>
        <w:rPr>
          <w:rFonts w:hint="eastAsia" w:ascii="仿宋_GB2312" w:hAnsi="宋体" w:eastAsia="仿宋_GB2312"/>
          <w:sz w:val="32"/>
          <w:szCs w:val="32"/>
          <w:lang w:val="zh-CN"/>
        </w:rPr>
        <w:t>实施</w:t>
      </w:r>
      <w:r>
        <w:rPr>
          <w:rFonts w:ascii="仿宋_GB2312" w:hAnsi="宋体" w:eastAsia="仿宋_GB2312"/>
          <w:sz w:val="32"/>
          <w:szCs w:val="32"/>
          <w:lang w:val="zh-CN"/>
        </w:rPr>
        <w:t>完毕。</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pStyle w:val="2"/>
        <w:ind w:firstLine="555"/>
        <w:rPr>
          <w:rFonts w:ascii="仿宋_GB2312" w:hAnsi="宋体" w:eastAsia="仿宋_GB2312" w:cs="Times New Roman"/>
          <w:color w:val="auto"/>
          <w:kern w:val="2"/>
          <w:sz w:val="32"/>
          <w:szCs w:val="32"/>
          <w:lang w:val="zh-CN"/>
        </w:rPr>
      </w:pPr>
      <w:r>
        <w:rPr>
          <w:rFonts w:hint="eastAsia" w:ascii="仿宋_GB2312" w:hAnsi="宋体" w:eastAsia="仿宋_GB2312" w:cs="Times New Roman"/>
          <w:color w:val="auto"/>
          <w:kern w:val="2"/>
          <w:sz w:val="32"/>
          <w:szCs w:val="32"/>
          <w:lang w:val="zh-CN"/>
        </w:rPr>
        <w:t>圆满</w:t>
      </w:r>
      <w:r>
        <w:rPr>
          <w:rFonts w:ascii="仿宋_GB2312" w:hAnsi="宋体" w:eastAsia="仿宋_GB2312" w:cs="Times New Roman"/>
          <w:color w:val="auto"/>
          <w:kern w:val="2"/>
          <w:sz w:val="32"/>
          <w:szCs w:val="32"/>
          <w:lang w:val="zh-CN"/>
        </w:rPr>
        <w:t>完成了各类专项执法行动</w:t>
      </w:r>
      <w:r>
        <w:rPr>
          <w:rFonts w:hint="eastAsia" w:ascii="仿宋_GB2312" w:hAnsi="宋体" w:eastAsia="仿宋_GB2312" w:cs="Times New Roman"/>
          <w:color w:val="auto"/>
          <w:kern w:val="2"/>
          <w:sz w:val="32"/>
          <w:szCs w:val="32"/>
          <w:lang w:val="zh-CN"/>
        </w:rPr>
        <w:t>，</w:t>
      </w:r>
      <w:r>
        <w:rPr>
          <w:rFonts w:ascii="仿宋_GB2312" w:hAnsi="宋体" w:eastAsia="仿宋_GB2312" w:cs="Times New Roman"/>
          <w:color w:val="auto"/>
          <w:kern w:val="2"/>
          <w:sz w:val="32"/>
          <w:szCs w:val="32"/>
          <w:lang w:val="zh-CN"/>
        </w:rPr>
        <w:t>促进了执法效率的提升，改善了大气</w:t>
      </w:r>
      <w:r>
        <w:rPr>
          <w:rFonts w:hint="eastAsia" w:ascii="仿宋_GB2312" w:hAnsi="宋体" w:eastAsia="仿宋_GB2312" w:cs="Times New Roman"/>
          <w:color w:val="auto"/>
          <w:kern w:val="2"/>
          <w:sz w:val="32"/>
          <w:szCs w:val="32"/>
          <w:lang w:val="zh-CN"/>
        </w:rPr>
        <w:t>、</w:t>
      </w:r>
      <w:r>
        <w:rPr>
          <w:rFonts w:ascii="仿宋_GB2312" w:hAnsi="宋体" w:eastAsia="仿宋_GB2312" w:cs="Times New Roman"/>
          <w:color w:val="auto"/>
          <w:kern w:val="2"/>
          <w:sz w:val="32"/>
          <w:szCs w:val="32"/>
          <w:lang w:val="zh-CN"/>
        </w:rPr>
        <w:t>水环境质量。</w:t>
      </w: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hint="eastAsia" w:ascii="方正小标宋简体" w:hAnsi="宋体" w:eastAsia="方正小标宋简体"/>
          <w:color w:val="auto"/>
          <w:kern w:val="0"/>
          <w:sz w:val="44"/>
          <w:szCs w:val="44"/>
          <w:lang w:val="zh-CN"/>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color w:val="auto"/>
          <w:kern w:val="0"/>
          <w:sz w:val="44"/>
          <w:szCs w:val="44"/>
          <w:lang w:val="zh-CN"/>
        </w:rPr>
        <w:t>202</w:t>
      </w:r>
      <w:r>
        <w:rPr>
          <w:rFonts w:hint="eastAsia" w:ascii="方正小标宋简体" w:hAnsi="宋体" w:eastAsia="方正小标宋简体"/>
          <w:color w:val="auto"/>
          <w:kern w:val="0"/>
          <w:sz w:val="44"/>
          <w:szCs w:val="44"/>
        </w:rPr>
        <w:t>0</w:t>
      </w:r>
      <w:r>
        <w:rPr>
          <w:rFonts w:hint="eastAsia" w:ascii="方正小标宋简体" w:hAnsi="宋体" w:eastAsia="方正小标宋简体"/>
          <w:color w:val="auto"/>
          <w:kern w:val="0"/>
          <w:sz w:val="44"/>
          <w:szCs w:val="44"/>
          <w:lang w:val="zh-CN"/>
        </w:rPr>
        <w:t>年</w:t>
      </w:r>
      <w:r>
        <w:rPr>
          <w:rFonts w:hint="eastAsia" w:ascii="方正小标宋简体" w:hAnsi="宋体" w:eastAsia="方正小标宋简体"/>
          <w:kern w:val="0"/>
          <w:sz w:val="44"/>
          <w:szCs w:val="44"/>
          <w:lang w:val="zh-CN"/>
        </w:rPr>
        <w:t>设备购置项目支出绩效自评报告</w:t>
      </w:r>
    </w:p>
    <w:p>
      <w:pPr>
        <w:spacing w:line="600" w:lineRule="exact"/>
        <w:ind w:firstLine="640"/>
        <w:jc w:val="center"/>
        <w:rPr>
          <w:rFonts w:ascii="宋体" w:hAnsi="宋体"/>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w:t>
      </w:r>
      <w:r>
        <w:rPr>
          <w:rFonts w:ascii="仿宋_GB2312" w:hAnsi="宋体" w:eastAsia="仿宋_GB2312"/>
          <w:sz w:val="32"/>
          <w:szCs w:val="32"/>
          <w:lang w:val="zh-CN"/>
        </w:rPr>
        <w:t>保障日常办公需要和进一步提高执法的精准性，</w:t>
      </w:r>
      <w:r>
        <w:rPr>
          <w:rFonts w:hint="eastAsia" w:ascii="仿宋_GB2312" w:hAnsi="宋体" w:eastAsia="仿宋_GB2312"/>
          <w:sz w:val="32"/>
          <w:szCs w:val="32"/>
          <w:lang w:val="zh-CN"/>
        </w:rPr>
        <w:t>2020年</w:t>
      </w:r>
      <w:r>
        <w:rPr>
          <w:rFonts w:ascii="仿宋_GB2312" w:hAnsi="宋体" w:eastAsia="仿宋_GB2312"/>
          <w:sz w:val="32"/>
          <w:szCs w:val="32"/>
          <w:lang w:val="zh-CN"/>
        </w:rPr>
        <w:t>申报</w:t>
      </w:r>
      <w:r>
        <w:rPr>
          <w:rFonts w:hint="eastAsia" w:ascii="仿宋_GB2312" w:hAnsi="宋体" w:eastAsia="仿宋_GB2312"/>
          <w:sz w:val="32"/>
          <w:szCs w:val="32"/>
        </w:rPr>
        <w:t>购置一批执法快速检测设备</w:t>
      </w:r>
      <w:r>
        <w:rPr>
          <w:rFonts w:hint="eastAsia" w:ascii="仿宋_GB2312" w:hAnsi="宋体" w:eastAsia="仿宋_GB2312"/>
          <w:sz w:val="32"/>
          <w:szCs w:val="32"/>
          <w:lang w:val="zh-CN"/>
        </w:rPr>
        <w:t>项目，以</w:t>
      </w:r>
      <w:r>
        <w:rPr>
          <w:rFonts w:ascii="仿宋_GB2312" w:hAnsi="宋体" w:eastAsia="仿宋_GB2312"/>
          <w:sz w:val="32"/>
          <w:szCs w:val="32"/>
          <w:lang w:val="zh-CN"/>
        </w:rPr>
        <w:t>便携式</w:t>
      </w:r>
      <w:r>
        <w:rPr>
          <w:rFonts w:hint="eastAsia" w:ascii="仿宋_GB2312" w:hAnsi="宋体" w:eastAsia="仿宋_GB2312"/>
          <w:sz w:val="32"/>
          <w:szCs w:val="32"/>
          <w:lang w:val="zh-CN"/>
        </w:rPr>
        <w:t>检测</w:t>
      </w:r>
      <w:r>
        <w:rPr>
          <w:rFonts w:ascii="仿宋_GB2312" w:hAnsi="宋体" w:eastAsia="仿宋_GB2312"/>
          <w:sz w:val="32"/>
          <w:szCs w:val="32"/>
          <w:lang w:val="zh-CN"/>
        </w:rPr>
        <w:t>设备</w:t>
      </w:r>
      <w:r>
        <w:rPr>
          <w:rFonts w:hint="eastAsia" w:ascii="仿宋_GB2312" w:hAnsi="宋体" w:eastAsia="仿宋_GB2312"/>
          <w:sz w:val="32"/>
          <w:szCs w:val="32"/>
          <w:lang w:val="zh-CN"/>
        </w:rPr>
        <w:t>为主</w:t>
      </w:r>
      <w:r>
        <w:rPr>
          <w:rFonts w:ascii="仿宋_GB2312" w:hAnsi="宋体" w:eastAsia="仿宋_GB2312"/>
          <w:sz w:val="32"/>
          <w:szCs w:val="32"/>
          <w:lang w:val="zh-CN"/>
        </w:rPr>
        <w:t>，申报预算</w:t>
      </w:r>
      <w:r>
        <w:rPr>
          <w:rFonts w:hint="eastAsia" w:ascii="仿宋_GB2312" w:hAnsi="宋体" w:eastAsia="仿宋_GB2312"/>
          <w:sz w:val="32"/>
          <w:szCs w:val="32"/>
          <w:lang w:val="zh-CN"/>
        </w:rPr>
        <w:t>395.73万元</w:t>
      </w:r>
      <w:r>
        <w:rPr>
          <w:rFonts w:ascii="仿宋_GB2312" w:hAnsi="宋体" w:eastAsia="仿宋_GB2312"/>
          <w:sz w:val="32"/>
          <w:szCs w:val="32"/>
          <w:lang w:val="zh-CN"/>
        </w:rPr>
        <w:t>，</w:t>
      </w:r>
      <w:r>
        <w:rPr>
          <w:rFonts w:hint="eastAsia" w:ascii="仿宋_GB2312" w:hAnsi="宋体" w:eastAsia="仿宋_GB2312"/>
          <w:sz w:val="32"/>
          <w:szCs w:val="32"/>
          <w:lang w:val="zh-CN"/>
        </w:rPr>
        <w:t>实际</w:t>
      </w:r>
      <w:r>
        <w:rPr>
          <w:rFonts w:ascii="仿宋_GB2312" w:hAnsi="宋体" w:eastAsia="仿宋_GB2312"/>
          <w:sz w:val="32"/>
          <w:szCs w:val="32"/>
          <w:lang w:val="zh-CN"/>
        </w:rPr>
        <w:t>执行资金</w:t>
      </w:r>
      <w:r>
        <w:rPr>
          <w:rFonts w:hint="eastAsia" w:ascii="仿宋_GB2312" w:hAnsi="宋体" w:eastAsia="仿宋_GB2312"/>
          <w:sz w:val="32"/>
          <w:szCs w:val="32"/>
          <w:lang w:val="zh-CN"/>
        </w:rPr>
        <w:t>371.6万元，</w:t>
      </w:r>
      <w:r>
        <w:rPr>
          <w:rFonts w:ascii="仿宋_GB2312" w:hAnsi="宋体" w:eastAsia="仿宋_GB2312"/>
          <w:sz w:val="32"/>
          <w:szCs w:val="32"/>
          <w:lang w:val="zh-CN"/>
        </w:rPr>
        <w:t>实际执行率约</w:t>
      </w:r>
      <w:r>
        <w:rPr>
          <w:rFonts w:hint="eastAsia" w:ascii="仿宋_GB2312" w:hAnsi="宋体" w:eastAsia="仿宋_GB2312"/>
          <w:sz w:val="32"/>
          <w:szCs w:val="32"/>
          <w:lang w:val="zh-CN"/>
        </w:rPr>
        <w:t>93.9</w:t>
      </w:r>
      <w:r>
        <w:rPr>
          <w:rFonts w:ascii="仿宋_GB2312" w:hAnsi="宋体" w:eastAsia="仿宋_GB2312"/>
          <w:sz w:val="32"/>
          <w:szCs w:val="32"/>
          <w:lang w:val="zh-CN"/>
        </w:rPr>
        <w:t>%</w:t>
      </w:r>
      <w:r>
        <w:rPr>
          <w:rFonts w:hint="eastAsia" w:ascii="仿宋_GB2312" w:hAnsi="宋体" w:eastAsia="仿宋_GB2312"/>
          <w:sz w:val="32"/>
          <w:szCs w:val="32"/>
          <w:lang w:val="zh-CN"/>
        </w:rPr>
        <w:t>。项目</w:t>
      </w:r>
      <w:r>
        <w:rPr>
          <w:rFonts w:ascii="仿宋_GB2312" w:hAnsi="宋体" w:eastAsia="仿宋_GB2312"/>
          <w:sz w:val="32"/>
          <w:szCs w:val="32"/>
          <w:lang w:val="zh-CN"/>
        </w:rPr>
        <w:t>实施与申报内容相符</w:t>
      </w:r>
      <w:r>
        <w:rPr>
          <w:rFonts w:hint="eastAsia" w:ascii="仿宋_GB2312" w:hAnsi="宋体" w:eastAsia="仿宋_GB2312"/>
          <w:sz w:val="32"/>
          <w:szCs w:val="32"/>
          <w:lang w:val="zh-CN"/>
        </w:rPr>
        <w:t>。</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hint="eastAsia" w:ascii="仿宋_GB2312" w:hAnsi="宋体" w:eastAsia="仿宋_GB2312"/>
          <w:sz w:val="32"/>
          <w:szCs w:val="32"/>
          <w:lang w:val="zh-CN"/>
        </w:rPr>
      </w:pPr>
      <w:r>
        <w:rPr>
          <w:rFonts w:hint="eastAsia" w:ascii="仿宋_GB2312" w:hAnsi="宋体" w:eastAsia="仿宋_GB2312"/>
          <w:sz w:val="32"/>
          <w:szCs w:val="32"/>
          <w:lang w:val="zh-CN"/>
        </w:rPr>
        <w:t>按照项目资金管理办法，</w:t>
      </w:r>
      <w:r>
        <w:rPr>
          <w:rFonts w:hint="eastAsia" w:ascii="仿宋_GB2312" w:hAnsi="仿宋_GB2312" w:eastAsia="仿宋_GB2312" w:cs="仿宋_GB2312"/>
          <w:color w:val="000000" w:themeColor="text1"/>
          <w:sz w:val="32"/>
          <w:szCs w:val="32"/>
          <w:lang w:eastAsia="zh-CN"/>
          <w14:textFill>
            <w14:solidFill>
              <w14:schemeClr w14:val="tx1"/>
            </w14:solidFill>
          </w14:textFill>
        </w:rPr>
        <w:t>设备购置</w:t>
      </w:r>
      <w:r>
        <w:rPr>
          <w:rFonts w:hint="eastAsia" w:ascii="仿宋_GB2312" w:hAnsi="宋体" w:eastAsia="仿宋_GB2312"/>
          <w:sz w:val="32"/>
          <w:szCs w:val="32"/>
          <w:lang w:val="zh-CN"/>
        </w:rPr>
        <w:t>项目严格执行财务管理制度、财务处理及时、会计核算规范。</w:t>
      </w:r>
      <w:r>
        <w:rPr>
          <w:rFonts w:hint="eastAsia" w:ascii="仿宋" w:hAnsi="仿宋" w:eastAsia="仿宋"/>
          <w:sz w:val="32"/>
          <w:szCs w:val="32"/>
        </w:rPr>
        <w:t>目前</w:t>
      </w:r>
      <w:r>
        <w:rPr>
          <w:rFonts w:hint="eastAsia" w:ascii="仿宋_GB2312" w:hAnsi="宋体" w:eastAsia="仿宋_GB2312"/>
          <w:sz w:val="32"/>
          <w:szCs w:val="32"/>
          <w:lang w:val="zh-CN"/>
        </w:rPr>
        <w:t>该</w:t>
      </w:r>
      <w:r>
        <w:rPr>
          <w:rFonts w:ascii="仿宋_GB2312" w:hAnsi="宋体" w:eastAsia="仿宋_GB2312"/>
          <w:sz w:val="32"/>
          <w:szCs w:val="32"/>
          <w:lang w:val="zh-CN"/>
        </w:rPr>
        <w:t>项目已</w:t>
      </w:r>
      <w:r>
        <w:rPr>
          <w:rFonts w:hint="eastAsia" w:ascii="仿宋_GB2312" w:hAnsi="宋体" w:eastAsia="仿宋_GB2312"/>
          <w:sz w:val="32"/>
          <w:szCs w:val="32"/>
          <w:lang w:val="zh-CN"/>
        </w:rPr>
        <w:t>实施</w:t>
      </w:r>
      <w:r>
        <w:rPr>
          <w:rFonts w:ascii="仿宋_GB2312" w:hAnsi="宋体" w:eastAsia="仿宋_GB2312"/>
          <w:sz w:val="32"/>
          <w:szCs w:val="32"/>
          <w:lang w:val="zh-CN"/>
        </w:rPr>
        <w:t>完毕。</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采购</w:t>
      </w:r>
      <w:r>
        <w:rPr>
          <w:rFonts w:ascii="仿宋_GB2312" w:hAnsi="宋体" w:eastAsia="仿宋_GB2312"/>
          <w:sz w:val="32"/>
          <w:szCs w:val="32"/>
          <w:lang w:val="zh-CN"/>
        </w:rPr>
        <w:t>的</w:t>
      </w:r>
      <w:r>
        <w:rPr>
          <w:rFonts w:hint="eastAsia" w:ascii="仿宋_GB2312" w:hAnsi="宋体" w:eastAsia="仿宋_GB2312"/>
          <w:sz w:val="32"/>
          <w:szCs w:val="32"/>
          <w:lang w:val="zh-CN"/>
        </w:rPr>
        <w:t>设备</w:t>
      </w:r>
      <w:r>
        <w:rPr>
          <w:rFonts w:ascii="仿宋_GB2312" w:hAnsi="宋体" w:eastAsia="仿宋_GB2312"/>
          <w:sz w:val="32"/>
          <w:szCs w:val="32"/>
          <w:lang w:val="zh-CN"/>
        </w:rPr>
        <w:t>在精准打击环境违法行为方面发挥</w:t>
      </w:r>
      <w:r>
        <w:rPr>
          <w:rFonts w:hint="eastAsia" w:ascii="仿宋_GB2312" w:hAnsi="宋体" w:eastAsia="仿宋_GB2312"/>
          <w:sz w:val="32"/>
          <w:szCs w:val="32"/>
          <w:lang w:val="zh-CN"/>
        </w:rPr>
        <w:t>重要作用</w:t>
      </w:r>
      <w:r>
        <w:rPr>
          <w:rFonts w:ascii="仿宋_GB2312" w:hAnsi="宋体" w:eastAsia="仿宋_GB2312"/>
          <w:sz w:val="32"/>
          <w:szCs w:val="32"/>
          <w:lang w:val="zh-CN"/>
        </w:rPr>
        <w:t>，</w:t>
      </w:r>
      <w:r>
        <w:rPr>
          <w:rFonts w:hint="eastAsia" w:ascii="仿宋_GB2312" w:hAnsi="宋体" w:eastAsia="仿宋_GB2312"/>
          <w:sz w:val="32"/>
          <w:szCs w:val="32"/>
        </w:rPr>
        <w:t>上半年，省执法总队直接查办环境违法案件24件，同比上升140%，处罚金额同比上升210%。2021年，分4轮派出23人赴山东、山西、河北、浙江参加大气污染防治强化监督帮扶，携带</w:t>
      </w:r>
      <w:r>
        <w:rPr>
          <w:rFonts w:ascii="仿宋_GB2312" w:hAnsi="宋体" w:eastAsia="仿宋_GB2312"/>
          <w:sz w:val="32"/>
          <w:szCs w:val="32"/>
        </w:rPr>
        <w:t>的</w:t>
      </w:r>
      <w:r>
        <w:rPr>
          <w:rFonts w:hint="eastAsia" w:ascii="仿宋_GB2312" w:hAnsi="宋体" w:eastAsia="仿宋_GB2312"/>
          <w:sz w:val="32"/>
          <w:szCs w:val="32"/>
        </w:rPr>
        <w:t>设备</w:t>
      </w:r>
      <w:r>
        <w:rPr>
          <w:rFonts w:ascii="仿宋_GB2312" w:hAnsi="宋体" w:eastAsia="仿宋_GB2312"/>
          <w:sz w:val="32"/>
          <w:szCs w:val="32"/>
        </w:rPr>
        <w:t>发挥重要作用，帮助</w:t>
      </w:r>
      <w:r>
        <w:rPr>
          <w:rFonts w:hint="eastAsia" w:ascii="仿宋_GB2312" w:hAnsi="宋体" w:eastAsia="仿宋_GB2312"/>
          <w:sz w:val="32"/>
          <w:szCs w:val="32"/>
        </w:rPr>
        <w:t>执法</w:t>
      </w:r>
      <w:r>
        <w:rPr>
          <w:rFonts w:ascii="仿宋_GB2312" w:hAnsi="宋体" w:eastAsia="仿宋_GB2312"/>
          <w:sz w:val="32"/>
          <w:szCs w:val="32"/>
        </w:rPr>
        <w:t>人员发现一批典型问题，</w:t>
      </w:r>
      <w:r>
        <w:rPr>
          <w:rFonts w:hint="eastAsia" w:ascii="仿宋_GB2312" w:hAnsi="宋体" w:eastAsia="仿宋_GB2312"/>
          <w:sz w:val="32"/>
          <w:szCs w:val="32"/>
        </w:rPr>
        <w:t>四川省得分总分全国第二。</w:t>
      </w:r>
    </w:p>
    <w:p>
      <w:pPr>
        <w:spacing w:line="600" w:lineRule="exact"/>
        <w:jc w:val="both"/>
        <w:outlineLvl w:val="0"/>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pStyle w:val="2"/>
        <w:rPr>
          <w:rFonts w:hint="eastAsia" w:ascii="黑体" w:hAnsi="黑体" w:eastAsia="黑体"/>
          <w:color w:val="000000"/>
          <w:sz w:val="44"/>
          <w:szCs w:val="44"/>
        </w:rPr>
      </w:pPr>
    </w:p>
    <w:p>
      <w:pPr>
        <w:spacing w:line="600" w:lineRule="exact"/>
        <w:jc w:val="center"/>
        <w:outlineLvl w:val="0"/>
        <w:rPr>
          <w:rStyle w:val="25"/>
          <w:rFonts w:hint="eastAsia"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1"/>
      <w:bookmarkEnd w:id="53"/>
      <w:bookmarkStart w:id="54" w:name="_Toc15396619"/>
    </w:p>
    <w:p>
      <w:pPr>
        <w:numPr>
          <w:ilvl w:val="0"/>
          <w:numId w:val="7"/>
        </w:numPr>
        <w:spacing w:line="600" w:lineRule="exact"/>
        <w:jc w:val="both"/>
        <w:outlineLvl w:val="0"/>
        <w:rPr>
          <w:rStyle w:val="26"/>
          <w:rFonts w:hint="eastAsia" w:ascii="仿宋_GB2312" w:hAnsi="仿宋_GB2312" w:eastAsia="仿宋_GB2312" w:cs="仿宋_GB2312"/>
          <w:b w:val="0"/>
          <w:bCs w:val="0"/>
          <w:sz w:val="32"/>
          <w:szCs w:val="32"/>
        </w:rPr>
      </w:pPr>
      <w:r>
        <w:rPr>
          <w:rFonts w:hint="eastAsia" w:ascii="仿宋_GB2312" w:hAnsi="仿宋_GB2312" w:eastAsia="仿宋_GB2312" w:cs="仿宋_GB2312"/>
          <w:b w:val="0"/>
          <w:color w:val="000000"/>
          <w:sz w:val="32"/>
          <w:szCs w:val="32"/>
        </w:rPr>
        <w:t>收</w:t>
      </w:r>
      <w:r>
        <w:rPr>
          <w:rStyle w:val="26"/>
          <w:rFonts w:hint="eastAsia" w:ascii="仿宋_GB2312" w:hAnsi="仿宋_GB2312" w:eastAsia="仿宋_GB2312" w:cs="仿宋_GB2312"/>
          <w:b w:val="0"/>
          <w:bCs w:val="0"/>
          <w:sz w:val="32"/>
          <w:szCs w:val="32"/>
        </w:rPr>
        <w:t>入支出决算总表</w:t>
      </w:r>
      <w:bookmarkEnd w:id="54"/>
    </w:p>
    <w:p>
      <w:pPr>
        <w:pStyle w:val="4"/>
        <w:rPr>
          <w:rFonts w:hint="eastAsia" w:ascii="仿宋_GB2312" w:hAnsi="仿宋_GB2312" w:eastAsia="仿宋_GB2312" w:cs="仿宋_GB2312"/>
          <w:color w:val="000000"/>
          <w:sz w:val="32"/>
          <w:szCs w:val="32"/>
        </w:rPr>
      </w:pPr>
      <w:bookmarkStart w:id="55" w:name="_Toc15396620"/>
      <w:r>
        <w:rPr>
          <w:rFonts w:hint="eastAsia" w:ascii="仿宋_GB2312" w:hAnsi="仿宋_GB2312" w:eastAsia="仿宋_GB2312" w:cs="仿宋_GB2312"/>
          <w:b w:val="0"/>
          <w:color w:val="000000"/>
          <w:sz w:val="32"/>
          <w:szCs w:val="32"/>
        </w:rPr>
        <w:t>二、收</w:t>
      </w:r>
      <w:r>
        <w:rPr>
          <w:rStyle w:val="26"/>
          <w:rFonts w:hint="eastAsia" w:ascii="仿宋_GB2312" w:hAnsi="仿宋_GB2312" w:eastAsia="仿宋_GB2312" w:cs="仿宋_GB2312"/>
          <w:b w:val="0"/>
          <w:bCs w:val="0"/>
          <w:sz w:val="32"/>
          <w:szCs w:val="32"/>
        </w:rPr>
        <w:t>入决算表</w:t>
      </w:r>
      <w:bookmarkEnd w:id="55"/>
    </w:p>
    <w:p>
      <w:pPr>
        <w:pStyle w:val="4"/>
        <w:rPr>
          <w:rFonts w:hint="eastAsia" w:ascii="仿宋_GB2312" w:hAnsi="仿宋_GB2312" w:eastAsia="仿宋_GB2312" w:cs="仿宋_GB2312"/>
          <w:color w:val="000000"/>
          <w:sz w:val="32"/>
          <w:szCs w:val="32"/>
        </w:rPr>
      </w:pPr>
      <w:bookmarkStart w:id="56" w:name="_Toc15396621"/>
      <w:r>
        <w:rPr>
          <w:rStyle w:val="26"/>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color w:val="000000"/>
          <w:sz w:val="32"/>
          <w:szCs w:val="32"/>
        </w:rPr>
        <w:t>支</w:t>
      </w:r>
      <w:r>
        <w:rPr>
          <w:rStyle w:val="26"/>
          <w:rFonts w:hint="eastAsia" w:ascii="仿宋_GB2312" w:hAnsi="仿宋_GB2312" w:eastAsia="仿宋_GB2312" w:cs="仿宋_GB2312"/>
          <w:b w:val="0"/>
          <w:bCs w:val="0"/>
          <w:sz w:val="32"/>
          <w:szCs w:val="32"/>
        </w:rPr>
        <w:t>出决算表</w:t>
      </w:r>
      <w:bookmarkEnd w:id="56"/>
    </w:p>
    <w:p>
      <w:pPr>
        <w:pStyle w:val="4"/>
        <w:rPr>
          <w:rFonts w:hint="eastAsia" w:ascii="仿宋_GB2312" w:hAnsi="仿宋_GB2312" w:eastAsia="仿宋_GB2312" w:cs="仿宋_GB2312"/>
          <w:b w:val="0"/>
          <w:color w:val="000000"/>
          <w:sz w:val="32"/>
          <w:szCs w:val="32"/>
        </w:rPr>
      </w:pPr>
      <w:bookmarkStart w:id="57" w:name="_Toc15396622"/>
      <w:r>
        <w:rPr>
          <w:rStyle w:val="26"/>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color w:val="000000"/>
          <w:sz w:val="32"/>
          <w:szCs w:val="32"/>
        </w:rPr>
        <w:t>财</w:t>
      </w:r>
      <w:r>
        <w:rPr>
          <w:rStyle w:val="26"/>
          <w:rFonts w:hint="eastAsia" w:ascii="仿宋_GB2312" w:hAnsi="仿宋_GB2312" w:eastAsia="仿宋_GB2312" w:cs="仿宋_GB2312"/>
          <w:b w:val="0"/>
          <w:bCs w:val="0"/>
          <w:sz w:val="32"/>
          <w:szCs w:val="32"/>
        </w:rPr>
        <w:t>政拨款收入支出决算总表</w:t>
      </w:r>
      <w:bookmarkEnd w:id="57"/>
    </w:p>
    <w:p>
      <w:pPr>
        <w:pStyle w:val="4"/>
        <w:rPr>
          <w:rStyle w:val="26"/>
          <w:rFonts w:hint="eastAsia" w:ascii="仿宋_GB2312" w:hAnsi="仿宋_GB2312" w:eastAsia="仿宋_GB2312" w:cs="仿宋_GB2312"/>
          <w:b w:val="0"/>
          <w:bCs w:val="0"/>
          <w:sz w:val="32"/>
          <w:szCs w:val="32"/>
        </w:rPr>
      </w:pPr>
      <w:bookmarkStart w:id="58" w:name="_Toc15396623"/>
      <w:r>
        <w:rPr>
          <w:rStyle w:val="26"/>
          <w:rFonts w:hint="eastAsia" w:ascii="仿宋_GB2312" w:hAnsi="仿宋_GB2312" w:eastAsia="仿宋_GB2312" w:cs="仿宋_GB2312"/>
          <w:b w:val="0"/>
          <w:bCs w:val="0"/>
          <w:sz w:val="32"/>
          <w:szCs w:val="32"/>
        </w:rPr>
        <w:t>五、</w:t>
      </w:r>
      <w:r>
        <w:rPr>
          <w:rFonts w:hint="eastAsia" w:ascii="仿宋_GB2312" w:hAnsi="仿宋_GB2312" w:eastAsia="仿宋_GB2312" w:cs="仿宋_GB2312"/>
          <w:b w:val="0"/>
          <w:color w:val="000000"/>
          <w:sz w:val="32"/>
          <w:szCs w:val="32"/>
        </w:rPr>
        <w:t>财</w:t>
      </w:r>
      <w:r>
        <w:rPr>
          <w:rStyle w:val="26"/>
          <w:rFonts w:hint="eastAsia" w:ascii="仿宋_GB2312" w:hAnsi="仿宋_GB2312" w:eastAsia="仿宋_GB2312" w:cs="仿宋_GB2312"/>
          <w:b w:val="0"/>
          <w:bCs w:val="0"/>
          <w:sz w:val="32"/>
          <w:szCs w:val="32"/>
        </w:rPr>
        <w:t>政拨款支出决算明细表</w:t>
      </w:r>
      <w:bookmarkEnd w:id="58"/>
      <w:bookmarkStart w:id="59" w:name="_Toc15396624"/>
    </w:p>
    <w:p>
      <w:pPr>
        <w:pStyle w:val="4"/>
        <w:rPr>
          <w:rFonts w:hint="eastAsia" w:ascii="仿宋_GB2312" w:hAnsi="仿宋_GB2312" w:eastAsia="仿宋_GB2312" w:cs="仿宋_GB2312"/>
          <w:color w:val="000000"/>
          <w:sz w:val="32"/>
          <w:szCs w:val="32"/>
        </w:rPr>
      </w:pPr>
      <w:r>
        <w:rPr>
          <w:rStyle w:val="26"/>
          <w:rFonts w:hint="eastAsia" w:ascii="仿宋_GB2312" w:hAnsi="仿宋_GB2312" w:eastAsia="仿宋_GB2312" w:cs="仿宋_GB2312"/>
          <w:b w:val="0"/>
          <w:bCs w:val="0"/>
          <w:sz w:val="32"/>
          <w:szCs w:val="32"/>
        </w:rPr>
        <w:t>六、</w:t>
      </w:r>
      <w:r>
        <w:rPr>
          <w:rFonts w:hint="eastAsia" w:ascii="仿宋_GB2312" w:hAnsi="仿宋_GB2312" w:eastAsia="仿宋_GB2312" w:cs="仿宋_GB2312"/>
          <w:b w:val="0"/>
          <w:color w:val="000000"/>
          <w:sz w:val="32"/>
          <w:szCs w:val="32"/>
        </w:rPr>
        <w:t>一</w:t>
      </w:r>
      <w:r>
        <w:rPr>
          <w:rStyle w:val="26"/>
          <w:rFonts w:hint="eastAsia" w:ascii="仿宋_GB2312" w:hAnsi="仿宋_GB2312" w:eastAsia="仿宋_GB2312" w:cs="仿宋_GB2312"/>
          <w:b w:val="0"/>
          <w:bCs w:val="0"/>
          <w:sz w:val="32"/>
          <w:szCs w:val="32"/>
        </w:rPr>
        <w:t>般公共预算财政拨款支出决算表</w:t>
      </w:r>
      <w:bookmarkEnd w:id="59"/>
    </w:p>
    <w:p>
      <w:pPr>
        <w:pStyle w:val="4"/>
        <w:rPr>
          <w:rFonts w:hint="eastAsia" w:ascii="仿宋_GB2312" w:hAnsi="仿宋_GB2312" w:eastAsia="仿宋_GB2312" w:cs="仿宋_GB2312"/>
          <w:color w:val="000000"/>
          <w:sz w:val="32"/>
          <w:szCs w:val="32"/>
        </w:rPr>
      </w:pPr>
      <w:bookmarkStart w:id="60" w:name="_Toc15396625"/>
      <w:r>
        <w:rPr>
          <w:rStyle w:val="26"/>
          <w:rFonts w:hint="eastAsia" w:ascii="仿宋_GB2312" w:hAnsi="仿宋_GB2312" w:eastAsia="仿宋_GB2312" w:cs="仿宋_GB2312"/>
          <w:b w:val="0"/>
          <w:bCs w:val="0"/>
          <w:sz w:val="32"/>
          <w:szCs w:val="32"/>
        </w:rPr>
        <w:t>七、</w:t>
      </w:r>
      <w:r>
        <w:rPr>
          <w:rFonts w:hint="eastAsia" w:ascii="仿宋_GB2312" w:hAnsi="仿宋_GB2312" w:eastAsia="仿宋_GB2312" w:cs="仿宋_GB2312"/>
          <w:b w:val="0"/>
          <w:color w:val="000000"/>
          <w:sz w:val="32"/>
          <w:szCs w:val="32"/>
        </w:rPr>
        <w:t>一</w:t>
      </w:r>
      <w:r>
        <w:rPr>
          <w:rStyle w:val="26"/>
          <w:rFonts w:hint="eastAsia" w:ascii="仿宋_GB2312" w:hAnsi="仿宋_GB2312" w:eastAsia="仿宋_GB2312" w:cs="仿宋_GB2312"/>
          <w:b w:val="0"/>
          <w:bCs w:val="0"/>
          <w:sz w:val="32"/>
          <w:szCs w:val="32"/>
        </w:rPr>
        <w:t>般公共预算财政拨款支出决算明细表</w:t>
      </w:r>
      <w:bookmarkEnd w:id="60"/>
    </w:p>
    <w:p>
      <w:pPr>
        <w:pStyle w:val="4"/>
        <w:rPr>
          <w:rFonts w:hint="eastAsia" w:ascii="仿宋_GB2312" w:hAnsi="仿宋_GB2312" w:eastAsia="仿宋_GB2312" w:cs="仿宋_GB2312"/>
          <w:color w:val="000000"/>
          <w:sz w:val="32"/>
          <w:szCs w:val="32"/>
        </w:rPr>
      </w:pPr>
      <w:bookmarkStart w:id="61" w:name="_Toc15396626"/>
      <w:r>
        <w:rPr>
          <w:rStyle w:val="26"/>
          <w:rFonts w:hint="eastAsia" w:ascii="仿宋_GB2312" w:hAnsi="仿宋_GB2312" w:eastAsia="仿宋_GB2312" w:cs="仿宋_GB2312"/>
          <w:b w:val="0"/>
          <w:bCs w:val="0"/>
          <w:sz w:val="32"/>
          <w:szCs w:val="32"/>
        </w:rPr>
        <w:t>八、</w:t>
      </w:r>
      <w:r>
        <w:rPr>
          <w:rFonts w:hint="eastAsia" w:ascii="仿宋_GB2312" w:hAnsi="仿宋_GB2312" w:eastAsia="仿宋_GB2312" w:cs="仿宋_GB2312"/>
          <w:b w:val="0"/>
          <w:color w:val="000000"/>
          <w:sz w:val="32"/>
          <w:szCs w:val="32"/>
        </w:rPr>
        <w:t>一</w:t>
      </w:r>
      <w:r>
        <w:rPr>
          <w:rStyle w:val="26"/>
          <w:rFonts w:hint="eastAsia" w:ascii="仿宋_GB2312" w:hAnsi="仿宋_GB2312" w:eastAsia="仿宋_GB2312" w:cs="仿宋_GB2312"/>
          <w:b w:val="0"/>
          <w:bCs w:val="0"/>
          <w:sz w:val="32"/>
          <w:szCs w:val="32"/>
        </w:rPr>
        <w:t>般公共预算财政拨款基本支出决算表</w:t>
      </w:r>
      <w:bookmarkEnd w:id="61"/>
    </w:p>
    <w:p>
      <w:pPr>
        <w:pStyle w:val="4"/>
        <w:rPr>
          <w:rFonts w:hint="eastAsia" w:ascii="仿宋_GB2312" w:hAnsi="仿宋_GB2312" w:eastAsia="仿宋_GB2312" w:cs="仿宋_GB2312"/>
          <w:color w:val="000000"/>
          <w:sz w:val="32"/>
          <w:szCs w:val="32"/>
        </w:rPr>
      </w:pPr>
      <w:bookmarkStart w:id="62" w:name="_Toc15396627"/>
      <w:r>
        <w:rPr>
          <w:rStyle w:val="26"/>
          <w:rFonts w:hint="eastAsia" w:ascii="仿宋_GB2312" w:hAnsi="仿宋_GB2312" w:eastAsia="仿宋_GB2312" w:cs="仿宋_GB2312"/>
          <w:b w:val="0"/>
          <w:bCs w:val="0"/>
          <w:sz w:val="32"/>
          <w:szCs w:val="32"/>
        </w:rPr>
        <w:t>九、</w:t>
      </w:r>
      <w:r>
        <w:rPr>
          <w:rFonts w:hint="eastAsia" w:ascii="仿宋_GB2312" w:hAnsi="仿宋_GB2312" w:eastAsia="仿宋_GB2312" w:cs="仿宋_GB2312"/>
          <w:b w:val="0"/>
          <w:color w:val="000000"/>
          <w:sz w:val="32"/>
          <w:szCs w:val="32"/>
        </w:rPr>
        <w:t>一</w:t>
      </w:r>
      <w:r>
        <w:rPr>
          <w:rStyle w:val="26"/>
          <w:rFonts w:hint="eastAsia" w:ascii="仿宋_GB2312" w:hAnsi="仿宋_GB2312" w:eastAsia="仿宋_GB2312" w:cs="仿宋_GB2312"/>
          <w:b w:val="0"/>
          <w:bCs w:val="0"/>
          <w:sz w:val="32"/>
          <w:szCs w:val="32"/>
        </w:rPr>
        <w:t>般公共预算财政拨款项目支出决算表</w:t>
      </w:r>
      <w:bookmarkEnd w:id="62"/>
    </w:p>
    <w:p>
      <w:pPr>
        <w:pStyle w:val="4"/>
        <w:rPr>
          <w:rFonts w:hint="eastAsia" w:ascii="仿宋_GB2312" w:hAnsi="仿宋_GB2312" w:eastAsia="仿宋_GB2312" w:cs="仿宋_GB2312"/>
          <w:color w:val="000000"/>
          <w:sz w:val="32"/>
          <w:szCs w:val="32"/>
        </w:rPr>
      </w:pPr>
      <w:bookmarkStart w:id="63" w:name="_Toc15396628"/>
      <w:r>
        <w:rPr>
          <w:rStyle w:val="26"/>
          <w:rFonts w:hint="eastAsia" w:ascii="仿宋_GB2312" w:hAnsi="仿宋_GB2312" w:eastAsia="仿宋_GB2312" w:cs="仿宋_GB2312"/>
          <w:b w:val="0"/>
          <w:bCs w:val="0"/>
          <w:sz w:val="32"/>
          <w:szCs w:val="32"/>
        </w:rPr>
        <w:t>十、</w:t>
      </w:r>
      <w:r>
        <w:rPr>
          <w:rFonts w:hint="eastAsia" w:ascii="仿宋_GB2312" w:hAnsi="仿宋_GB2312" w:eastAsia="仿宋_GB2312" w:cs="仿宋_GB2312"/>
          <w:b w:val="0"/>
          <w:color w:val="000000"/>
          <w:sz w:val="32"/>
          <w:szCs w:val="32"/>
        </w:rPr>
        <w:t>一</w:t>
      </w:r>
      <w:r>
        <w:rPr>
          <w:rStyle w:val="26"/>
          <w:rFonts w:hint="eastAsia" w:ascii="仿宋_GB2312" w:hAnsi="仿宋_GB2312" w:eastAsia="仿宋_GB2312" w:cs="仿宋_GB2312"/>
          <w:b w:val="0"/>
          <w:bCs w:val="0"/>
          <w:sz w:val="32"/>
          <w:szCs w:val="32"/>
        </w:rPr>
        <w:t>般公共预算财政拨款“三公”经费支出决算表</w:t>
      </w:r>
      <w:bookmarkEnd w:id="63"/>
    </w:p>
    <w:p>
      <w:pPr>
        <w:pStyle w:val="4"/>
        <w:rPr>
          <w:rFonts w:hint="eastAsia" w:ascii="仿宋_GB2312" w:hAnsi="仿宋_GB2312" w:eastAsia="仿宋_GB2312" w:cs="仿宋_GB2312"/>
          <w:color w:val="000000"/>
          <w:sz w:val="32"/>
          <w:szCs w:val="32"/>
        </w:rPr>
      </w:pPr>
      <w:bookmarkStart w:id="64" w:name="_Toc15396629"/>
      <w:r>
        <w:rPr>
          <w:rStyle w:val="26"/>
          <w:rFonts w:hint="eastAsia" w:ascii="仿宋_GB2312" w:hAnsi="仿宋_GB2312" w:eastAsia="仿宋_GB2312" w:cs="仿宋_GB2312"/>
          <w:b w:val="0"/>
          <w:bCs w:val="0"/>
          <w:sz w:val="32"/>
          <w:szCs w:val="32"/>
        </w:rPr>
        <w:t>十一、</w:t>
      </w:r>
      <w:r>
        <w:rPr>
          <w:rFonts w:hint="eastAsia" w:ascii="仿宋_GB2312" w:hAnsi="仿宋_GB2312" w:eastAsia="仿宋_GB2312" w:cs="仿宋_GB2312"/>
          <w:b w:val="0"/>
          <w:color w:val="000000"/>
          <w:sz w:val="32"/>
          <w:szCs w:val="32"/>
        </w:rPr>
        <w:t>政</w:t>
      </w:r>
      <w:r>
        <w:rPr>
          <w:rStyle w:val="26"/>
          <w:rFonts w:hint="eastAsia" w:ascii="仿宋_GB2312" w:hAnsi="仿宋_GB2312" w:eastAsia="仿宋_GB2312" w:cs="仿宋_GB2312"/>
          <w:b w:val="0"/>
          <w:bCs w:val="0"/>
          <w:sz w:val="32"/>
          <w:szCs w:val="32"/>
        </w:rPr>
        <w:t>府性基金预算财政拨款收入支出决算表</w:t>
      </w:r>
      <w:bookmarkEnd w:id="64"/>
    </w:p>
    <w:p>
      <w:pPr>
        <w:pStyle w:val="4"/>
        <w:rPr>
          <w:rFonts w:hint="eastAsia" w:ascii="仿宋_GB2312" w:hAnsi="仿宋_GB2312" w:eastAsia="仿宋_GB2312" w:cs="仿宋_GB2312"/>
          <w:color w:val="000000"/>
          <w:sz w:val="32"/>
          <w:szCs w:val="32"/>
        </w:rPr>
      </w:pPr>
      <w:bookmarkStart w:id="65" w:name="_Toc15396630"/>
      <w:r>
        <w:rPr>
          <w:rStyle w:val="26"/>
          <w:rFonts w:hint="eastAsia" w:ascii="仿宋_GB2312" w:hAnsi="仿宋_GB2312" w:eastAsia="仿宋_GB2312" w:cs="仿宋_GB2312"/>
          <w:b w:val="0"/>
          <w:bCs w:val="0"/>
          <w:sz w:val="32"/>
          <w:szCs w:val="32"/>
        </w:rPr>
        <w:t>十二、</w:t>
      </w:r>
      <w:r>
        <w:rPr>
          <w:rFonts w:hint="eastAsia" w:ascii="仿宋_GB2312" w:hAnsi="仿宋_GB2312" w:eastAsia="仿宋_GB2312" w:cs="仿宋_GB2312"/>
          <w:b w:val="0"/>
          <w:color w:val="000000"/>
          <w:sz w:val="32"/>
          <w:szCs w:val="32"/>
        </w:rPr>
        <w:t>政</w:t>
      </w:r>
      <w:r>
        <w:rPr>
          <w:rStyle w:val="26"/>
          <w:rFonts w:hint="eastAsia" w:ascii="仿宋_GB2312" w:hAnsi="仿宋_GB2312" w:eastAsia="仿宋_GB2312" w:cs="仿宋_GB2312"/>
          <w:b w:val="0"/>
          <w:bCs w:val="0"/>
          <w:sz w:val="32"/>
          <w:szCs w:val="32"/>
        </w:rPr>
        <w:t>府性基金预算财政拨款“三公”经费支出决算表</w:t>
      </w:r>
      <w:bookmarkEnd w:id="65"/>
    </w:p>
    <w:p>
      <w:pPr>
        <w:pStyle w:val="4"/>
        <w:rPr>
          <w:rStyle w:val="26"/>
          <w:rFonts w:hint="eastAsia" w:ascii="仿宋_GB2312" w:hAnsi="仿宋_GB2312" w:eastAsia="仿宋_GB2312" w:cs="仿宋_GB2312"/>
          <w:b w:val="0"/>
          <w:bCs w:val="0"/>
          <w:sz w:val="32"/>
          <w:szCs w:val="32"/>
        </w:rPr>
      </w:pPr>
      <w:bookmarkStart w:id="66" w:name="_Toc15396631"/>
      <w:r>
        <w:rPr>
          <w:rStyle w:val="26"/>
          <w:rFonts w:hint="eastAsia" w:ascii="仿宋_GB2312" w:hAnsi="仿宋_GB2312" w:eastAsia="仿宋_GB2312" w:cs="仿宋_GB2312"/>
          <w:b w:val="0"/>
          <w:bCs w:val="0"/>
          <w:sz w:val="32"/>
          <w:szCs w:val="32"/>
        </w:rPr>
        <w:t>十三、</w:t>
      </w:r>
      <w:r>
        <w:rPr>
          <w:rFonts w:hint="eastAsia" w:ascii="仿宋_GB2312" w:hAnsi="仿宋_GB2312" w:eastAsia="仿宋_GB2312" w:cs="仿宋_GB2312"/>
          <w:b w:val="0"/>
          <w:color w:val="000000"/>
          <w:sz w:val="32"/>
          <w:szCs w:val="32"/>
        </w:rPr>
        <w:t>国</w:t>
      </w:r>
      <w:r>
        <w:rPr>
          <w:rStyle w:val="26"/>
          <w:rFonts w:hint="eastAsia" w:ascii="仿宋_GB2312" w:hAnsi="仿宋_GB2312" w:eastAsia="仿宋_GB2312" w:cs="仿宋_GB2312"/>
          <w:b w:val="0"/>
          <w:bCs w:val="0"/>
          <w:sz w:val="32"/>
          <w:szCs w:val="32"/>
        </w:rPr>
        <w:t>有资本经营预算</w:t>
      </w:r>
      <w:r>
        <w:rPr>
          <w:rStyle w:val="26"/>
          <w:rFonts w:hint="eastAsia" w:ascii="仿宋_GB2312" w:hAnsi="仿宋_GB2312" w:eastAsia="仿宋_GB2312" w:cs="仿宋_GB2312"/>
          <w:b w:val="0"/>
          <w:bCs w:val="0"/>
          <w:sz w:val="32"/>
          <w:szCs w:val="32"/>
          <w:lang w:eastAsia="zh-CN"/>
        </w:rPr>
        <w:t>财政拨款收入</w:t>
      </w:r>
      <w:r>
        <w:rPr>
          <w:rStyle w:val="26"/>
          <w:rFonts w:hint="eastAsia" w:ascii="仿宋_GB2312" w:hAnsi="仿宋_GB2312" w:eastAsia="仿宋_GB2312" w:cs="仿宋_GB2312"/>
          <w:b w:val="0"/>
          <w:bCs w:val="0"/>
          <w:sz w:val="32"/>
          <w:szCs w:val="32"/>
        </w:rPr>
        <w:t>支出决算表</w:t>
      </w:r>
      <w:bookmarkEnd w:id="66"/>
    </w:p>
    <w:p>
      <w:pPr>
        <w:rPr>
          <w:rFonts w:hint="eastAsia" w:ascii="仿宋_GB2312" w:hAnsi="仿宋_GB2312" w:eastAsia="仿宋_GB2312" w:cs="仿宋_GB2312"/>
          <w:sz w:val="32"/>
          <w:szCs w:val="32"/>
          <w:lang w:eastAsia="zh-CN"/>
        </w:rPr>
      </w:pPr>
      <w:r>
        <w:rPr>
          <w:rStyle w:val="26"/>
          <w:rFonts w:hint="eastAsia" w:ascii="仿宋_GB2312" w:hAnsi="仿宋_GB2312" w:eastAsia="仿宋_GB2312" w:cs="仿宋_GB2312"/>
          <w:b w:val="0"/>
          <w:bCs w:val="0"/>
          <w:sz w:val="32"/>
          <w:szCs w:val="32"/>
          <w:lang w:eastAsia="zh-CN"/>
        </w:rPr>
        <w:t>十四、国有资本经营预算财政拨款支出决算表</w:t>
      </w:r>
    </w:p>
    <w:p>
      <w:pPr>
        <w:pStyle w:val="2"/>
        <w:numPr>
          <w:ilvl w:val="0"/>
          <w:numId w:val="0"/>
        </w:numPr>
        <w:rPr>
          <w:rFonts w:hint="eastAsia" w:ascii="仿宋_GB2312" w:hAnsi="仿宋_GB2312" w:eastAsia="仿宋_GB2312" w:cs="仿宋_GB2312"/>
          <w:sz w:val="32"/>
          <w:szCs w:val="32"/>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黑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swiss"/>
    <w:pitch w:val="default"/>
    <w:sig w:usb0="800002BF" w:usb1="38CF7CFA" w:usb2="00000016" w:usb3="00000000" w:csb0="00040001" w:csb1="00000000"/>
  </w:font>
  <w:font w:name="ÃƒÂ¥Ã‚Â®Ã¢â‚¬Â¹ÃƒÂ¤Ã‚Â½Ã¢â‚¬Å“">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Calibri Light">
    <w:panose1 w:val="020F0302020204030204"/>
    <w:charset w:val="00"/>
    <w:family w:val="decorative"/>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等线">
    <w:altName w:val="仿宋"/>
    <w:panose1 w:val="00000000000000000000"/>
    <w:charset w:val="86"/>
    <w:family w:val="auto"/>
    <w:pitch w:val="default"/>
    <w:sig w:usb0="00000000" w:usb1="00000000" w:usb2="00000016" w:usb3="00000000" w:csb0="0004000F" w:csb1="00000000"/>
  </w:font>
  <w:font w:name="方正楷体_GBK">
    <w:altName w:val="Arial Unicode MS"/>
    <w:panose1 w:val="02000000000000000000"/>
    <w:charset w:val="86"/>
    <w:family w:val="auto"/>
    <w:pitch w:val="default"/>
    <w:sig w:usb0="00000000" w:usb1="00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I">
    <w:altName w:val="Times New Roman"/>
    <w:panose1 w:val="00000000000000000000"/>
    <w:charset w:val="00"/>
    <w:family w:val="decorative"/>
    <w:pitch w:val="default"/>
    <w:sig w:usb0="00000000" w:usb1="00000000" w:usb2="00000000" w:usb3="00000000" w:csb0="00040001" w:csb1="00000000"/>
  </w:font>
  <w:font w:name="??">
    <w:altName w:val="Times New Roman"/>
    <w:panose1 w:val="00000000000000000000"/>
    <w:charset w:val="00"/>
    <w:family w:val="modern"/>
    <w:pitch w:val="default"/>
    <w:sig w:usb0="00000000" w:usb1="00000000" w:usb2="00000000" w:usb3="00000000" w:csb0="00000000" w:csb1="00000000"/>
  </w:font>
  <w:font w:name="TI">
    <w:altName w:val="Times New Roman"/>
    <w:panose1 w:val="00000000000000000000"/>
    <w:charset w:val="00"/>
    <w:family w:val="roman"/>
    <w:pitch w:val="default"/>
    <w:sig w:usb0="00000000" w:usb1="00000000" w:usb2="00000000" w:usb3="00000000" w:csb0="00040001" w:csb1="00000000"/>
  </w:font>
  <w:font w:name="??">
    <w:altName w:val="Times New Roman"/>
    <w:panose1 w:val="00000000000000000000"/>
    <w:charset w:val="00"/>
    <w:family w:val="swiss"/>
    <w:pitch w:val="default"/>
    <w:sig w:usb0="00000000" w:usb1="00000000" w:usb2="00000000" w:usb3="00000000" w:csb0="00000000" w:csb1="00000000"/>
  </w:font>
  <w:font w:name="TI">
    <w:altName w:val="Times New Roman"/>
    <w:panose1 w:val="00000000000000000000"/>
    <w:charset w:val="00"/>
    <w:family w:val="moder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decorative"/>
    <w:pitch w:val="default"/>
    <w:sig w:usb0="00000000" w:usb1="00000000" w:usb2="00000000" w:usb3="00000000" w:csb0="00000000" w:csb1="00000000"/>
  </w:font>
  <w:font w:name="TI">
    <w:altName w:val="Times New Roman"/>
    <w:panose1 w:val="00000000000000000000"/>
    <w:charset w:val="00"/>
    <w:family w:val="swiss"/>
    <w:pitch w:val="default"/>
    <w:sig w:usb0="00000000" w:usb1="00000000" w:usb2="00000000" w:usb3="00000000" w:csb0="00040001" w:csb1="00000000"/>
  </w:font>
  <w:font w:name="Courier New">
    <w:panose1 w:val="02070309020205020404"/>
    <w:charset w:val="00"/>
    <w:family w:val="swiss"/>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8</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0459476">
    <w:nsid w:val="612ED654"/>
    <w:multiLevelType w:val="singleLevel"/>
    <w:tmpl w:val="612ED654"/>
    <w:lvl w:ilvl="0" w:tentative="1">
      <w:start w:val="1"/>
      <w:numFmt w:val="decimal"/>
      <w:suff w:val="nothing"/>
      <w:lvlText w:val="%1."/>
      <w:lvlJc w:val="left"/>
    </w:lvl>
  </w:abstractNum>
  <w:abstractNum w:abstractNumId="1629774891">
    <w:nsid w:val="6124642B"/>
    <w:multiLevelType w:val="singleLevel"/>
    <w:tmpl w:val="6124642B"/>
    <w:lvl w:ilvl="0" w:tentative="1">
      <w:start w:val="1"/>
      <w:numFmt w:val="decimal"/>
      <w:suff w:val="nothing"/>
      <w:lvlText w:val="%1."/>
      <w:lvlJc w:val="left"/>
    </w:lvl>
  </w:abstractNum>
  <w:abstractNum w:abstractNumId="3479514348">
    <w:nsid w:val="CF652CEC"/>
    <w:multiLevelType w:val="singleLevel"/>
    <w:tmpl w:val="CF652CEC"/>
    <w:lvl w:ilvl="0" w:tentative="1">
      <w:start w:val="9"/>
      <w:numFmt w:val="chineseCounting"/>
      <w:suff w:val="nothing"/>
      <w:lvlText w:val="%1、"/>
      <w:lvlJc w:val="left"/>
      <w:rPr>
        <w:rFonts w:hint="eastAsia"/>
      </w:rPr>
    </w:lvl>
  </w:abstractNum>
  <w:abstractNum w:abstractNumId="3808035965">
    <w:nsid w:val="E2FA047D"/>
    <w:multiLevelType w:val="singleLevel"/>
    <w:tmpl w:val="E2FA047D"/>
    <w:lvl w:ilvl="0" w:tentative="1">
      <w:start w:val="3"/>
      <w:numFmt w:val="chineseCounting"/>
      <w:suff w:val="space"/>
      <w:lvlText w:val="第%1部分"/>
      <w:lvlJc w:val="left"/>
      <w:rPr>
        <w:rFonts w:hint="eastAsia" w:ascii="黑体" w:hAnsi="黑体" w:eastAsia="黑体" w:cs="黑体"/>
        <w:sz w:val="44"/>
        <w:szCs w:val="44"/>
      </w:rPr>
    </w:lvl>
  </w:abstractNum>
  <w:abstractNum w:abstractNumId="1630290635">
    <w:nsid w:val="612C42CB"/>
    <w:multiLevelType w:val="singleLevel"/>
    <w:tmpl w:val="612C42CB"/>
    <w:lvl w:ilvl="0" w:tentative="1">
      <w:start w:val="1"/>
      <w:numFmt w:val="chineseCounting"/>
      <w:suff w:val="nothing"/>
      <w:lvlText w:val="%1、"/>
      <w:lvlJc w:val="left"/>
    </w:lvl>
  </w:abstractNum>
  <w:abstractNum w:abstractNumId="309482763">
    <w:nsid w:val="1272550B"/>
    <w:multiLevelType w:val="multilevel"/>
    <w:tmpl w:val="1272550B"/>
    <w:lvl w:ilvl="0" w:tentative="1">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abstractNum w:abstractNumId="3326966143">
    <w:nsid w:val="C64D797F"/>
    <w:multiLevelType w:val="singleLevel"/>
    <w:tmpl w:val="C64D797F"/>
    <w:lvl w:ilvl="0" w:tentative="1">
      <w:start w:val="1"/>
      <w:numFmt w:val="chineseCounting"/>
      <w:suff w:val="nothing"/>
      <w:lvlText w:val="%1、"/>
      <w:lvlJc w:val="left"/>
      <w:rPr>
        <w:rFonts w:hint="eastAsia"/>
      </w:rPr>
    </w:lvl>
  </w:abstractNum>
  <w:num w:numId="1">
    <w:abstractNumId w:val="3326966143"/>
  </w:num>
  <w:num w:numId="2">
    <w:abstractNumId w:val="309482763"/>
  </w:num>
  <w:num w:numId="3">
    <w:abstractNumId w:val="1630459476"/>
  </w:num>
  <w:num w:numId="4">
    <w:abstractNumId w:val="1629774891"/>
  </w:num>
  <w:num w:numId="5">
    <w:abstractNumId w:val="3479514348"/>
  </w:num>
  <w:num w:numId="6">
    <w:abstractNumId w:val="3808035965"/>
  </w:num>
  <w:num w:numId="7">
    <w:abstractNumId w:val="16302906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76A20"/>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277FD"/>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0F42AF"/>
    <w:rsid w:val="03412326"/>
    <w:rsid w:val="035F0943"/>
    <w:rsid w:val="05866ACD"/>
    <w:rsid w:val="06452104"/>
    <w:rsid w:val="07BB3EA5"/>
    <w:rsid w:val="0808384B"/>
    <w:rsid w:val="0A2032A3"/>
    <w:rsid w:val="0A7A1CC8"/>
    <w:rsid w:val="0B996B5F"/>
    <w:rsid w:val="0D1A5504"/>
    <w:rsid w:val="0D563C79"/>
    <w:rsid w:val="0E165723"/>
    <w:rsid w:val="0E8611FF"/>
    <w:rsid w:val="0EE266A3"/>
    <w:rsid w:val="0EE63815"/>
    <w:rsid w:val="0F0E1AC0"/>
    <w:rsid w:val="0F98287A"/>
    <w:rsid w:val="0FBD2910"/>
    <w:rsid w:val="10C055FF"/>
    <w:rsid w:val="10C64476"/>
    <w:rsid w:val="118107EC"/>
    <w:rsid w:val="125A68B0"/>
    <w:rsid w:val="12D601FE"/>
    <w:rsid w:val="13440259"/>
    <w:rsid w:val="134C64F2"/>
    <w:rsid w:val="13CC08DD"/>
    <w:rsid w:val="1432404B"/>
    <w:rsid w:val="143E20A0"/>
    <w:rsid w:val="1503053B"/>
    <w:rsid w:val="15046ADD"/>
    <w:rsid w:val="150615EC"/>
    <w:rsid w:val="15E8670D"/>
    <w:rsid w:val="16AE5206"/>
    <w:rsid w:val="16B96880"/>
    <w:rsid w:val="16BB723D"/>
    <w:rsid w:val="18015F3F"/>
    <w:rsid w:val="1BE8440E"/>
    <w:rsid w:val="1BEA1C72"/>
    <w:rsid w:val="1CCB4E84"/>
    <w:rsid w:val="1CF66515"/>
    <w:rsid w:val="1D155CEE"/>
    <w:rsid w:val="1D896613"/>
    <w:rsid w:val="1E49331A"/>
    <w:rsid w:val="1ECD4C75"/>
    <w:rsid w:val="1F272385"/>
    <w:rsid w:val="1FE9459D"/>
    <w:rsid w:val="20F57F95"/>
    <w:rsid w:val="22293A58"/>
    <w:rsid w:val="223D1F00"/>
    <w:rsid w:val="22510208"/>
    <w:rsid w:val="240371BF"/>
    <w:rsid w:val="240E14EB"/>
    <w:rsid w:val="245E443A"/>
    <w:rsid w:val="253D21CD"/>
    <w:rsid w:val="25753417"/>
    <w:rsid w:val="27842671"/>
    <w:rsid w:val="29FD04D3"/>
    <w:rsid w:val="2ABE7A3E"/>
    <w:rsid w:val="2B583050"/>
    <w:rsid w:val="2C9D62F6"/>
    <w:rsid w:val="2F9432F2"/>
    <w:rsid w:val="319F7F4E"/>
    <w:rsid w:val="332F0124"/>
    <w:rsid w:val="34C33BA8"/>
    <w:rsid w:val="35610EEC"/>
    <w:rsid w:val="358D3151"/>
    <w:rsid w:val="379C5B0E"/>
    <w:rsid w:val="38C54D15"/>
    <w:rsid w:val="3C0C0783"/>
    <w:rsid w:val="3DE07440"/>
    <w:rsid w:val="3DE676AB"/>
    <w:rsid w:val="3E133265"/>
    <w:rsid w:val="3E4E23D7"/>
    <w:rsid w:val="3E7B40D9"/>
    <w:rsid w:val="3E9D1F10"/>
    <w:rsid w:val="3FB22E27"/>
    <w:rsid w:val="416C7406"/>
    <w:rsid w:val="41D40EE0"/>
    <w:rsid w:val="42715DEC"/>
    <w:rsid w:val="445C0001"/>
    <w:rsid w:val="446D2195"/>
    <w:rsid w:val="45462FCA"/>
    <w:rsid w:val="46321010"/>
    <w:rsid w:val="47064D10"/>
    <w:rsid w:val="473F4CDF"/>
    <w:rsid w:val="479123DC"/>
    <w:rsid w:val="48D22247"/>
    <w:rsid w:val="493C27E9"/>
    <w:rsid w:val="496F39ED"/>
    <w:rsid w:val="49AA19C3"/>
    <w:rsid w:val="49EE63C0"/>
    <w:rsid w:val="49FF41D3"/>
    <w:rsid w:val="4ADC7AA6"/>
    <w:rsid w:val="4BBE6979"/>
    <w:rsid w:val="4BE068DB"/>
    <w:rsid w:val="4BF6002B"/>
    <w:rsid w:val="4CFF78A7"/>
    <w:rsid w:val="4E71303F"/>
    <w:rsid w:val="4ECE2238"/>
    <w:rsid w:val="50A878EC"/>
    <w:rsid w:val="52063449"/>
    <w:rsid w:val="5273391A"/>
    <w:rsid w:val="544D2B0E"/>
    <w:rsid w:val="56267119"/>
    <w:rsid w:val="56807B15"/>
    <w:rsid w:val="5761747C"/>
    <w:rsid w:val="5805515E"/>
    <w:rsid w:val="58C64B69"/>
    <w:rsid w:val="5A5472E7"/>
    <w:rsid w:val="5A8A1229"/>
    <w:rsid w:val="5AFD7BA9"/>
    <w:rsid w:val="5B4D220A"/>
    <w:rsid w:val="5BCE3C4B"/>
    <w:rsid w:val="5CC61E1B"/>
    <w:rsid w:val="5D236E09"/>
    <w:rsid w:val="5DFC288B"/>
    <w:rsid w:val="5F4C2F71"/>
    <w:rsid w:val="5F821DF0"/>
    <w:rsid w:val="6105396F"/>
    <w:rsid w:val="62905111"/>
    <w:rsid w:val="63375757"/>
    <w:rsid w:val="63E40174"/>
    <w:rsid w:val="64485BBD"/>
    <w:rsid w:val="64CA39A1"/>
    <w:rsid w:val="65BE7E3B"/>
    <w:rsid w:val="678A6F40"/>
    <w:rsid w:val="684C671F"/>
    <w:rsid w:val="69757EFB"/>
    <w:rsid w:val="6AC05F84"/>
    <w:rsid w:val="6C4A05C8"/>
    <w:rsid w:val="6C67218A"/>
    <w:rsid w:val="6D1316DB"/>
    <w:rsid w:val="6D531F35"/>
    <w:rsid w:val="6DCD4B58"/>
    <w:rsid w:val="704C7438"/>
    <w:rsid w:val="72644220"/>
    <w:rsid w:val="72734D90"/>
    <w:rsid w:val="72B22DFA"/>
    <w:rsid w:val="733153EC"/>
    <w:rsid w:val="737347CB"/>
    <w:rsid w:val="73993276"/>
    <w:rsid w:val="74223E28"/>
    <w:rsid w:val="74D64862"/>
    <w:rsid w:val="75F2696F"/>
    <w:rsid w:val="77637BB0"/>
    <w:rsid w:val="77D468CF"/>
    <w:rsid w:val="78C37F27"/>
    <w:rsid w:val="7ADA02BF"/>
    <w:rsid w:val="7B3F4691"/>
    <w:rsid w:val="7C203DB1"/>
    <w:rsid w:val="7CED4B20"/>
    <w:rsid w:val="7CF84CAF"/>
    <w:rsid w:val="7E3507EE"/>
    <w:rsid w:val="7E5F1E24"/>
    <w:rsid w:val="7E7455EE"/>
    <w:rsid w:val="7EE669F3"/>
    <w:rsid w:val="7FD87FD5"/>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uiPriority w:val="99"/>
    <w:pPr>
      <w:spacing w:before="0" w:beforeAutospacing="1" w:after="0" w:afterAutospacing="1"/>
      <w:ind w:left="0" w:right="0"/>
      <w:jc w:val="left"/>
    </w:pPr>
    <w:rPr>
      <w:kern w:val="0"/>
      <w:sz w:val="24"/>
      <w:lang w:val="en-US" w:eastAsia="zh-CN" w:bidi="ar"/>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BodyText1I2"/>
    <w:basedOn w:val="32"/>
    <w:qFormat/>
    <w:uiPriority w:val="0"/>
    <w:pPr>
      <w:ind w:firstLine="420" w:firstLineChars="200"/>
    </w:pPr>
    <w:rPr>
      <w:rFonts w:ascii="仿宋_GB2312" w:eastAsia="仿宋_GB2312"/>
      <w:sz w:val="32"/>
    </w:rPr>
  </w:style>
  <w:style w:type="paragraph" w:customStyle="1" w:styleId="32">
    <w:name w:val="BodyTextIndent"/>
    <w:basedOn w:val="1"/>
    <w:qFormat/>
    <w:uiPriority w:val="0"/>
    <w:pPr>
      <w:ind w:firstLine="645"/>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E:\2012&#24180;-2019&#24180;&#20915;&#31639;\2020&#24180;&#20915;&#31639;\&#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E:\2012&#24180;-2019&#24180;&#20915;&#31639;\2020&#24180;&#20915;&#31639;\&#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E:\2012&#24180;-2019&#24180;&#20915;&#31639;\2020&#24180;&#20915;&#31639;\&#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E:\2012&#24180;-2019&#24180;&#20915;&#31639;\2020&#24180;&#20915;&#31639;\&#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E:\2012&#24180;-2019&#24180;&#20915;&#31639;\2020&#24180;&#20915;&#31639;\&#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E:\2012&#24180;-2019&#24180;&#20915;&#31639;\2020&#24180;&#20915;&#31639;\&#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0"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[图表.xlsx]Sheet3!$B$10</c:f>
              <c:strCache>
                <c:ptCount val="1"/>
                <c:pt idx="0">
                  <c:v>收、支决算总计变动情况图</c:v>
                </c:pt>
              </c:strCache>
            </c:strRef>
          </c:tx>
          <c:spPr>
            <a:solidFill>
              <a:schemeClr val="accent1"/>
            </a:solidFill>
            <a:ln>
              <a:noFill/>
            </a:ln>
            <a:effectLst/>
          </c:spPr>
          <c:invertIfNegative val="0"/>
          <c:cat>
            <c:numRef>
              <c:f>[图表.xlsx]Sheet3!$A$11:$A$12</c:f>
              <c:numCache>
                <c:formatCode>General</c:formatCode>
                <c:ptCount val="2"/>
                <c:pt idx="0">
                  <c:v>2019</c:v>
                </c:pt>
                <c:pt idx="1">
                  <c:v>2020</c:v>
                </c:pt>
              </c:numCache>
            </c:numRef>
          </c:cat>
          <c:val>
            <c:numRef>
              <c:f>[图表.xlsx]Sheet3!$B$11:$B$12</c:f>
              <c:numCache>
                <c:formatCode>General</c:formatCode>
                <c:ptCount val="2"/>
                <c:pt idx="0" c:formatCode="General">
                  <c:v>5299.77</c:v>
                </c:pt>
                <c:pt idx="1" c:formatCode="General">
                  <c:v>2502.66</c:v>
                </c:pt>
              </c:numCache>
            </c:numRef>
          </c:val>
        </c:ser>
        <c:dLbls>
          <c:dLblPos val="outEnd"/>
          <c:showLegendKey val="0"/>
          <c:showVal val="0"/>
          <c:showCatName val="0"/>
          <c:showSerName val="0"/>
          <c:showPercent val="0"/>
          <c:showBubbleSize val="0"/>
        </c:dLbls>
        <c:gapWidth val="219"/>
        <c:overlap val="-27"/>
        <c:axId val="11572711"/>
        <c:axId val="20384196"/>
      </c:barChart>
      <c:catAx>
        <c:axId val="11572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20384196"/>
        <c:crosses val="autoZero"/>
        <c:auto val="1"/>
        <c:lblAlgn val="ctr"/>
        <c:lblOffset val="100"/>
        <c:tickMarkSkip val="1"/>
        <c:noMultiLvlLbl val="0"/>
      </c:catAx>
      <c:valAx>
        <c:axId val="20384196"/>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115727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0"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[图表.xlsx]Sheet3!$A$16</c:f>
              <c:strCache>
                <c:ptCount val="1"/>
                <c:pt idx="0">
                  <c:v>2020</c:v>
                </c:pt>
              </c:strCache>
            </c:strRef>
          </c:tx>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[图表.xlsx]Sheet3!$B$15:$E$15</c:f>
              <c:strCache>
                <c:ptCount val="4"/>
                <c:pt idx="0">
                  <c:v>财政拨款收入</c:v>
                </c:pt>
                <c:pt idx="1">
                  <c:v>事业收入</c:v>
                </c:pt>
                <c:pt idx="2">
                  <c:v>经营收入</c:v>
                </c:pt>
                <c:pt idx="3">
                  <c:v>其他收入</c:v>
                </c:pt>
              </c:strCache>
            </c:strRef>
          </c:cat>
          <c:val>
            <c:numRef>
              <c:f>[图表.xlsx]Sheet3!$B$16:$E$16</c:f>
              <c:numCache>
                <c:formatCode>General</c:formatCode>
                <c:ptCount val="4"/>
                <c:pt idx="0" c:formatCode="General">
                  <c:v>2502.66</c:v>
                </c:pt>
              </c:numCache>
            </c:numRef>
          </c:val>
        </c:ser>
        <c:dLbls>
          <c:dLblPos val="bestFit"/>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Overflow="ellipsis" anchor="ctr" anchorCtr="1"/>
          <a:lstStyle/>
          <a:p>
            <a:pPr algn="ctr" defTabSz="914400">
              <a:defRPr sz="1400" b="0"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支出决算结构图</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vertOverflow="ellipsis" anchor="ctr" anchorCtr="1"/>
                  <a:lstStyle/>
                  <a:p>
                    <a:pPr algn="ctr" defTabSz="914400">
                      <a:defRPr sz="900" kern="1200">
                        <a:solidFill>
                          <a:schemeClr val="tx1">
                            <a:lumMod val="75000"/>
                            <a:lumOff val="25000"/>
                          </a:schemeClr>
                        </a:solidFill>
                        <a:latin typeface="+mn-lt"/>
                        <a:ea typeface="+mn-ea"/>
                        <a:cs typeface="+mn-cs"/>
                      </a:defRPr>
                    </a:pPr>
                    <a:r>
                      <a:rPr lang="en-US" altLang="zh-CN" sz="900" b="0" i="0" u="none" strike="noStrike" kern="1200" cap="none" normalizeH="0" baseline="0">
                        <a:solidFill>
                          <a:schemeClr val="tx1">
                            <a:lumMod val="75000"/>
                            <a:lumOff val="25000"/>
                          </a:schemeClr>
                        </a:solidFill>
                        <a:effectLst/>
                        <a:latin typeface="+mn-lt"/>
                        <a:ea typeface="+mn-ea"/>
                        <a:cs typeface="+mn-cs"/>
                      </a:rPr>
                      <a:t>56.05%</a:t>
                    </a:r>
                    <a:endParaRPr lang="en-US" altLang="zh-CN"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1"/>
              <c:dLblPos val="bestFit"/>
              <c:showLegendKey val="0"/>
              <c:showVal val="1"/>
              <c:showCatName val="0"/>
              <c:showSerName val="0"/>
              <c:showPercent val="0"/>
              <c:showBubbleSize val="0"/>
              <c:extLst>
                <c:ext xmlns:c15="http://schemas.microsoft.com/office/drawing/2012/chart" uri="{CE6537A1-D6FC-4f65-9D91-7224C49458BB}"/>
              </c:extLst>
            </c:dLbl>
            <c:dLbl>
              <c:idx val="1"/>
              <c:layout/>
              <c:tx>
                <c:rich>
                  <a:bodyPr vertOverflow="ellipsis" anchor="ctr" anchorCtr="1"/>
                  <a:lstStyle/>
                  <a:p>
                    <a:pPr algn="ctr" defTabSz="914400">
                      <a:defRPr sz="900" kern="1200">
                        <a:solidFill>
                          <a:schemeClr val="tx1">
                            <a:lumMod val="75000"/>
                            <a:lumOff val="25000"/>
                          </a:schemeClr>
                        </a:solidFill>
                        <a:latin typeface="+mn-lt"/>
                        <a:ea typeface="+mn-ea"/>
                        <a:cs typeface="+mn-cs"/>
                      </a:defRPr>
                    </a:pPr>
                    <a:r>
                      <a:rPr lang="en-US" altLang="zh-CN" sz="900" b="0" i="0" u="none" strike="noStrike" kern="1200" cap="none" normalizeH="0" baseline="0">
                        <a:solidFill>
                          <a:schemeClr val="tx1">
                            <a:lumMod val="75000"/>
                            <a:lumOff val="25000"/>
                          </a:schemeClr>
                        </a:solidFill>
                        <a:effectLst/>
                        <a:latin typeface="+mn-lt"/>
                        <a:ea typeface="+mn-ea"/>
                        <a:cs typeface="+mn-cs"/>
                      </a:rPr>
                      <a:t>43.95%</a:t>
                    </a:r>
                    <a:endParaRPr lang="en-US" altLang="zh-CN" sz="900" b="0" i="0" u="none" strike="noStrike" kern="1200" cap="none" normalizeH="0" baseline="0">
                      <a:solidFill>
                        <a:schemeClr val="tx1">
                          <a:lumMod val="75000"/>
                          <a:lumOff val="25000"/>
                        </a:schemeClr>
                      </a:solidFill>
                      <a:effectLst/>
                      <a:latin typeface="+mn-lt"/>
                      <a:ea typeface="+mn-ea"/>
                      <a:cs typeface="+mn-cs"/>
                    </a:endParaRPr>
                  </a:p>
                </c:rich>
              </c:tx>
              <c:numFmt formatCode="General" sourceLinked="1"/>
              <c:dLblPos val="bestFit"/>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[图表.xlsx]Sheet3!$B$103:$B$104</c:f>
              <c:strCache>
                <c:ptCount val="2"/>
                <c:pt idx="0">
                  <c:v>基本支出</c:v>
                </c:pt>
                <c:pt idx="1">
                  <c:v>项目支出</c:v>
                </c:pt>
              </c:strCache>
            </c:strRef>
          </c:cat>
          <c:val>
            <c:numRef>
              <c:f>[图表.xlsx]Sheet3!$C$103:$C$104</c:f>
              <c:numCache>
                <c:formatCode>General</c:formatCode>
                <c:ptCount val="2"/>
                <c:pt idx="0" c:formatCode="General">
                  <c:v>1430.53</c:v>
                </c:pt>
                <c:pt idx="1" c:formatCode="General">
                  <c:v>1121.81</c:v>
                </c:pt>
              </c:numCache>
            </c:numRef>
          </c:val>
        </c:ser>
        <c:dLbls>
          <c:dLblPos val="bestFit"/>
          <c:showLegendKey val="0"/>
          <c:showVal val="0"/>
          <c:showCatName val="0"/>
          <c:showSerName val="0"/>
          <c:showPercent val="0"/>
          <c:showBubbleSize val="0"/>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0"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[图表.xlsx]Sheet3!$C$115</c:f>
              <c:strCache>
                <c:ptCount val="1"/>
                <c:pt idx="0">
                  <c:v>财政拨款收入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numRef>
              <c:f>[图表.xlsx]Sheet3!$B$116:$B$117</c:f>
              <c:numCache>
                <c:formatCode>General</c:formatCode>
                <c:ptCount val="2"/>
                <c:pt idx="0">
                  <c:v>2019</c:v>
                </c:pt>
                <c:pt idx="1">
                  <c:v>2020</c:v>
                </c:pt>
              </c:numCache>
            </c:numRef>
          </c:cat>
          <c:val>
            <c:numRef>
              <c:f>[图表.xlsx]Sheet3!$C$116:$C$117</c:f>
              <c:numCache>
                <c:formatCode>General</c:formatCode>
                <c:ptCount val="2"/>
                <c:pt idx="0" c:formatCode="General">
                  <c:v>5299.77</c:v>
                </c:pt>
                <c:pt idx="1" c:formatCode="General">
                  <c:v>2502.66</c:v>
                </c:pt>
              </c:numCache>
            </c:numRef>
          </c:val>
        </c:ser>
        <c:dLbls>
          <c:dLblPos val="outEnd"/>
          <c:showLegendKey val="0"/>
          <c:showVal val="0"/>
          <c:showCatName val="0"/>
          <c:showSerName val="0"/>
          <c:showPercent val="0"/>
          <c:showBubbleSize val="0"/>
        </c:dLbls>
        <c:gapWidth val="219"/>
        <c:overlap val="-27"/>
        <c:axId val="108647740"/>
        <c:axId val="191848712"/>
      </c:barChart>
      <c:catAx>
        <c:axId val="1086477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191848712"/>
        <c:crosses val="autoZero"/>
        <c:auto val="1"/>
        <c:lblAlgn val="ctr"/>
        <c:lblOffset val="100"/>
        <c:tickMarkSkip val="1"/>
        <c:noMultiLvlLbl val="0"/>
      </c:catAx>
      <c:valAx>
        <c:axId val="19184871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1086477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horzOverflow="overflow" vert="horz" wrap="square" anchor="ctr" anchorCtr="1"/>
        <a:lstStyle/>
        <a:p>
          <a:pPr>
            <a:defRPr sz="1400" b="0"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[图表.xlsx]Sheet3!$C$115</c:f>
              <c:strCache>
                <c:ptCount val="1"/>
                <c:pt idx="0">
                  <c:v>财政拨款收入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numRef>
              <c:f>[图表.xlsx]Sheet3!$B$116:$B$117</c:f>
              <c:numCache>
                <c:formatCode>General</c:formatCode>
                <c:ptCount val="2"/>
                <c:pt idx="0">
                  <c:v>2019</c:v>
                </c:pt>
                <c:pt idx="1">
                  <c:v>2020</c:v>
                </c:pt>
              </c:numCache>
            </c:numRef>
          </c:cat>
          <c:val>
            <c:numRef>
              <c:f>[图表.xlsx]Sheet3!$C$116:$C$117</c:f>
              <c:numCache>
                <c:formatCode>General</c:formatCode>
                <c:ptCount val="2"/>
                <c:pt idx="0" c:formatCode="General">
                  <c:v>5299.77</c:v>
                </c:pt>
                <c:pt idx="1" c:formatCode="General">
                  <c:v>2502.66</c:v>
                </c:pt>
              </c:numCache>
            </c:numRef>
          </c:val>
        </c:ser>
        <c:dLbls>
          <c:dLblPos val="outEnd"/>
          <c:showLegendKey val="0"/>
          <c:showVal val="0"/>
          <c:showCatName val="0"/>
          <c:showSerName val="0"/>
          <c:showPercent val="0"/>
          <c:showBubbleSize val="0"/>
        </c:dLbls>
        <c:gapWidth val="219"/>
        <c:overlap val="-27"/>
        <c:axId val="108647740"/>
        <c:axId val="191848712"/>
      </c:barChart>
      <c:catAx>
        <c:axId val="1086477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191848712"/>
        <c:crosses val="autoZero"/>
        <c:auto val="1"/>
        <c:lblAlgn val="ctr"/>
        <c:lblOffset val="100"/>
        <c:tickMarkSkip val="1"/>
        <c:noMultiLvlLbl val="0"/>
      </c:catAx>
      <c:valAx>
        <c:axId val="191848712"/>
        <c:scaling>
          <c:orientation val="minMax"/>
        </c:scaling>
        <c:delete val="0"/>
        <c:axPos val="l"/>
        <c:majorGridlines>
          <c:spPr>
            <a:noFill/>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crossAx val="1086477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1000" kern="1200">
          <a:solidFill>
            <a:schemeClr val="tx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Overflow="ellipsis" anchor="ctr" anchorCtr="1"/>
          <a:lstStyle/>
          <a:p>
            <a:pPr algn="ctr" defTabSz="914400">
              <a:defRPr sz="1400" b="0" kern="1200" spc="0" baseline="0">
                <a:solidFill>
                  <a:schemeClr val="tx1">
                    <a:lumMod val="65000"/>
                    <a:lumOff val="35000"/>
                  </a:schemeClr>
                </a:solidFill>
                <a:latin typeface="+mn-lt"/>
                <a:ea typeface="+mn-ea"/>
                <a:cs typeface="+mn-cs"/>
              </a:defRPr>
            </a:pPr>
            <a:r>
              <a:rPr lang="en-US" altLang="zh-CN" sz="1400" b="0" i="0" u="none" strike="noStrike" kern="1200" cap="none" spc="0" normalizeH="0" baseline="0">
                <a:solidFill>
                  <a:schemeClr val="tx1">
                    <a:lumMod val="65000"/>
                    <a:lumOff val="35000"/>
                  </a:schemeClr>
                </a:solidFill>
                <a:effectLst/>
                <a:latin typeface="+mn-lt"/>
                <a:ea typeface="+mn-ea"/>
                <a:cs typeface="+mn-cs"/>
              </a:rPr>
              <a:t>2020</a:t>
            </a:r>
            <a:r>
              <a:rPr altLang="en-US" sz="1400" b="0" i="0" u="none" strike="noStrike" kern="1200" cap="none" spc="0" normalizeH="0" baseline="0">
                <a:solidFill>
                  <a:schemeClr val="tx1">
                    <a:lumMod val="65000"/>
                    <a:lumOff val="35000"/>
                  </a:schemeClr>
                </a:solidFill>
                <a:effectLst/>
                <a:latin typeface="+mn-lt"/>
                <a:ea typeface="+mn-ea"/>
                <a:cs typeface="+mn-cs"/>
              </a:rPr>
              <a:t>年各项支出</a:t>
            </a:r>
            <a:endParaRPr altLang="en-US" sz="1400" b="0" i="0" u="none" strike="noStrike" kern="1200" cap="none" spc="0" normalizeH="0" baseline="0">
              <a:solidFill>
                <a:schemeClr val="tx1">
                  <a:lumMod val="65000"/>
                  <a:lumOff val="35000"/>
                </a:schemeClr>
              </a:solidFill>
              <a:effectLst/>
              <a:latin typeface="+mn-lt"/>
              <a:ea typeface="+mn-ea"/>
              <a:cs typeface="+mn-cs"/>
            </a:endParaRPr>
          </a:p>
        </c:rich>
      </c:tx>
      <c:layout>
        <c:manualLayout>
          <c:xMode val="edge"/>
          <c:yMode val="edge"/>
          <c:x val="0.0435148731408574"/>
          <c:y val="0.0798611111111111"/>
        </c:manualLayout>
      </c:layout>
      <c:overlay val="0"/>
      <c:spPr>
        <a:noFill/>
        <a:ln>
          <a:noFill/>
        </a:ln>
        <a:effectLst/>
      </c:spPr>
    </c:title>
    <c:autoTitleDeleted val="0"/>
    <c:plotArea>
      <c:layout/>
      <c:pieChart>
        <c:varyColors val="1"/>
        <c:ser>
          <c:idx val="0"/>
          <c:order val="0"/>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[图表.xlsx]Sheet2!$B$27:$B$31</c:f>
              <c:strCache>
                <c:ptCount val="5"/>
                <c:pt idx="0">
                  <c:v>教育支出</c:v>
                </c:pt>
                <c:pt idx="1">
                  <c:v>社会保障和就业支出</c:v>
                </c:pt>
                <c:pt idx="2">
                  <c:v>卫生健康支出</c:v>
                </c:pt>
                <c:pt idx="3">
                  <c:v>节能环保支出</c:v>
                </c:pt>
                <c:pt idx="4">
                  <c:v>住房保障支出</c:v>
                </c:pt>
              </c:strCache>
            </c:strRef>
          </c:cat>
          <c:val>
            <c:numRef>
              <c:f>[图表.xlsx]Sheet2!$C$27:$C$31</c:f>
              <c:numCache>
                <c:formatCode>0.00_ </c:formatCode>
                <c:ptCount val="5"/>
                <c:pt idx="0">
                  <c:v>30.75</c:v>
                </c:pt>
                <c:pt idx="1">
                  <c:v>81.19</c:v>
                </c:pt>
                <c:pt idx="2">
                  <c:v>64</c:v>
                </c:pt>
                <c:pt idx="3">
                  <c:v>2155.95</c:v>
                </c:pt>
                <c:pt idx="4">
                  <c:v>220.46</c:v>
                </c:pt>
              </c:numCache>
            </c:numRef>
          </c:val>
        </c:ser>
        <c:ser>
          <c:idx val="1"/>
          <c:order val="1"/>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[图表.xlsx]Sheet2!$B$27:$B$31</c:f>
              <c:strCache>
                <c:ptCount val="5"/>
                <c:pt idx="0">
                  <c:v>教育支出</c:v>
                </c:pt>
                <c:pt idx="1">
                  <c:v>社会保障和就业支出</c:v>
                </c:pt>
                <c:pt idx="2">
                  <c:v>卫生健康支出</c:v>
                </c:pt>
                <c:pt idx="3">
                  <c:v>节能环保支出</c:v>
                </c:pt>
                <c:pt idx="4">
                  <c:v>住房保障支出</c:v>
                </c:pt>
              </c:strCache>
            </c:strRef>
          </c:cat>
          <c:val>
            <c:numRef>
              <c:f>[图表.xlsx]Sheet2!$D$27:$D$31</c:f>
              <c:numCache>
                <c:formatCode>0.00%</c:formatCode>
                <c:ptCount val="5"/>
                <c:pt idx="0">
                  <c:v>0.0120477207279566</c:v>
                </c:pt>
                <c:pt idx="1">
                  <c:v>0.0318099006797657</c:v>
                </c:pt>
                <c:pt idx="2">
                  <c:v>0.025074930945991</c:v>
                </c:pt>
                <c:pt idx="3">
                  <c:v>0.844692146453269</c:v>
                </c:pt>
                <c:pt idx="4">
                  <c:v>0.0863753011930182</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Overflow="ellipsis" anchor="ctr" anchorCtr="1"/>
          <a:lstStyle/>
          <a:p>
            <a:pPr algn="ctr" defTabSz="914400">
              <a:defRPr sz="1400" b="0" kern="1200" spc="0" baseline="0">
                <a:solidFill>
                  <a:schemeClr val="tx1">
                    <a:lumMod val="65000"/>
                    <a:lumOff val="35000"/>
                  </a:schemeClr>
                </a:solidFill>
                <a:latin typeface="+mn-lt"/>
                <a:ea typeface="+mn-ea"/>
                <a:cs typeface="+mn-cs"/>
              </a:defRPr>
            </a:pPr>
            <a:r>
              <a:rPr sz="1400" b="0" i="0" u="none" strike="noStrike" kern="1200" cap="none" spc="0" normalizeH="0" baseline="0">
                <a:solidFill>
                  <a:schemeClr val="tx1">
                    <a:lumMod val="65000"/>
                    <a:lumOff val="35000"/>
                  </a:schemeClr>
                </a:solidFill>
                <a:effectLst/>
                <a:latin typeface="+mn-lt"/>
                <a:ea typeface="+mn-ea"/>
                <a:cs typeface="+mn-cs"/>
              </a:rPr>
              <a:t>“三公”经费财政拨款支出结构</a:t>
            </a:r>
            <a:endParaRPr sz="1400" b="0" i="0" u="none" strike="noStrike" kern="1200" cap="none" spc="0" normalizeH="0" baseline="0">
              <a:solidFill>
                <a:schemeClr val="tx1">
                  <a:lumMod val="65000"/>
                  <a:lumOff val="35000"/>
                </a:schemeClr>
              </a:solidFill>
              <a:effectLst/>
              <a:latin typeface="+mn-lt"/>
              <a:ea typeface="+mn-ea"/>
              <a:cs typeface="+mn-cs"/>
            </a:endParaRPr>
          </a:p>
        </c:rich>
      </c:tx>
      <c:layout/>
      <c:overlay val="0"/>
      <c:spPr>
        <a:noFill/>
        <a:ln>
          <a:noFill/>
        </a:ln>
        <a:effectLst/>
      </c:spPr>
    </c:title>
    <c:autoTitleDeleted val="0"/>
    <c:plotArea>
      <c:layout/>
      <c:pieChart>
        <c:varyColors val="1"/>
        <c:ser>
          <c:idx val="0"/>
          <c:order val="0"/>
          <c:spPr>
            <a:effectLst/>
          </c:spPr>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noFill/>
                    <a:ln w="9525" cap="flat" cmpd="sng" algn="ctr">
                      <a:solidFill>
                        <a:schemeClr val="tx1">
                          <a:lumMod val="35000"/>
                          <a:lumOff val="65000"/>
                        </a:schemeClr>
                      </a:solidFill>
                      <a:round/>
                    </a:ln>
                    <a:effectLst/>
                  </c:spPr>
                </c15:leaderLines>
              </c:ext>
            </c:extLst>
          </c:dLbls>
          <c:cat>
            <c:strRef>
              <c:f>[工作簿1]Sheet1!$A$1:$A$2</c:f>
              <c:strCache>
                <c:ptCount val="2"/>
                <c:pt idx="0">
                  <c:v>公务用车运行维护费</c:v>
                </c:pt>
                <c:pt idx="1">
                  <c:v>公务接待费</c:v>
                </c:pt>
              </c:strCache>
            </c:strRef>
          </c:cat>
          <c:val>
            <c:numRef>
              <c:f>[工作簿1]Sheet1!$B$1:$B$2</c:f>
              <c:numCache>
                <c:formatCode>General</c:formatCode>
                <c:ptCount val="2"/>
                <c:pt idx="0" c:formatCode="General">
                  <c:v>43.68</c:v>
                </c:pt>
                <c:pt idx="1" c:formatCode="General">
                  <c:v>0.49</c:v>
                </c:pt>
              </c:numCache>
            </c:numRef>
          </c:val>
        </c:ser>
        <c:dLbls>
          <c:dLblPos val="bestFit"/>
          <c:showLegendKey val="0"/>
          <c:showVal val="0"/>
          <c:showCatName val="0"/>
          <c:showSerName val="0"/>
          <c:showPercent val="0"/>
          <c:showBubbleSize val="0"/>
        </c:dLbls>
        <c:firstSliceAng val="0"/>
      </c:pieChart>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tx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ScaleCrop>false</ScaleCrop>
  <LinksUpToDate>false</LinksUpToDate>
  <CharactersWithSpaces>8692</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陈治秀</cp:lastModifiedBy>
  <cp:lastPrinted>2021-08-17T08:06:00Z</cp:lastPrinted>
  <dcterms:modified xsi:type="dcterms:W3CDTF">2022-11-14T02:18:57Z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