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rPr>
          <w:rFonts w:ascii="Times New Roman" w:hAnsi="Times New Roman" w:eastAsia="黑体"/>
          <w:bCs/>
          <w:sz w:val="32"/>
          <w:szCs w:val="28"/>
        </w:rPr>
      </w:pPr>
    </w:p>
    <w:p>
      <w:pPr>
        <w:overflowPunct w:val="0"/>
        <w:topLinePunct/>
        <w:spacing w:line="600" w:lineRule="exact"/>
        <w:rPr>
          <w:rFonts w:ascii="Times New Roman" w:hAnsi="Times New Roman" w:eastAsia="黑体"/>
          <w:sz w:val="40"/>
          <w:szCs w:val="40"/>
        </w:rPr>
      </w:pPr>
    </w:p>
    <w:p>
      <w:pPr>
        <w:overflowPunct w:val="0"/>
        <w:topLinePunct/>
        <w:spacing w:line="60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四川省突发环境事件应急预案备案行业名录</w:t>
      </w:r>
    </w:p>
    <w:p>
      <w:pPr>
        <w:overflowPunct w:val="0"/>
        <w:topLinePunct/>
        <w:spacing w:line="600" w:lineRule="exact"/>
        <w:jc w:val="center"/>
        <w:rPr>
          <w:rFonts w:ascii="Times New Roman" w:hAnsi="Times New Roman" w:eastAsia="楷体_GB2312"/>
          <w:b/>
          <w:bCs/>
          <w:sz w:val="36"/>
          <w:szCs w:val="28"/>
        </w:rPr>
      </w:pPr>
      <w:r>
        <w:rPr>
          <w:rFonts w:hint="eastAsia" w:ascii="Times New Roman" w:hAnsi="Times New Roman" w:eastAsia="楷体_GB2312"/>
          <w:b/>
          <w:bCs/>
          <w:sz w:val="36"/>
          <w:szCs w:val="28"/>
        </w:rPr>
        <w:t>（2022年版）</w:t>
      </w:r>
    </w:p>
    <w:p>
      <w:pPr>
        <w:overflowPunct w:val="0"/>
        <w:topLinePunct/>
        <w:spacing w:line="600" w:lineRule="exact"/>
        <w:ind w:firstLine="640" w:firstLineChars="200"/>
        <w:rPr>
          <w:rStyle w:val="25"/>
          <w:rFonts w:ascii="Times New Roman" w:hAnsi="Times New Roman" w:eastAsia="仿宋_GB2312"/>
          <w:bCs/>
          <w:sz w:val="32"/>
        </w:rPr>
      </w:pPr>
    </w:p>
    <w:p>
      <w:pPr>
        <w:overflowPunct w:val="0"/>
        <w:topLinePunct/>
        <w:spacing w:line="600" w:lineRule="exact"/>
        <w:ind w:firstLine="640" w:firstLineChars="200"/>
        <w:rPr>
          <w:rStyle w:val="25"/>
          <w:rFonts w:ascii="Times New Roman" w:hAnsi="Times New Roman" w:eastAsia="仿宋_GB2312"/>
          <w:sz w:val="32"/>
        </w:rPr>
      </w:pPr>
      <w:r>
        <w:rPr>
          <w:rStyle w:val="25"/>
          <w:rFonts w:hint="eastAsia" w:ascii="Times New Roman" w:hAnsi="Times New Roman" w:eastAsia="黑体"/>
          <w:bCs/>
          <w:sz w:val="32"/>
        </w:rPr>
        <w:t xml:space="preserve">第一条 </w:t>
      </w:r>
      <w:r>
        <w:rPr>
          <w:rStyle w:val="25"/>
          <w:rFonts w:hint="eastAsia" w:ascii="Times New Roman" w:hAnsi="Times New Roman" w:eastAsia="仿宋_GB2312"/>
          <w:sz w:val="32"/>
        </w:rPr>
        <w:t>为</w:t>
      </w:r>
      <w:r>
        <w:rPr>
          <w:rStyle w:val="25"/>
          <w:rFonts w:hint="eastAsia" w:ascii="Times New Roman" w:hAnsi="Times New Roman" w:eastAsia="仿宋_GB2312"/>
          <w:kern w:val="0"/>
          <w:sz w:val="32"/>
          <w:szCs w:val="32"/>
        </w:rPr>
        <w:t>规范企业事业单位的预案备案管理，加强企业事业单位从源头防范环境风险</w:t>
      </w:r>
      <w:r>
        <w:rPr>
          <w:rStyle w:val="25"/>
          <w:rFonts w:hint="eastAsia" w:ascii="Times New Roman" w:hAnsi="Times New Roman" w:eastAsia="仿宋_GB2312"/>
          <w:sz w:val="32"/>
        </w:rPr>
        <w:t>，根据</w:t>
      </w:r>
      <w:r>
        <w:rPr>
          <w:rStyle w:val="25"/>
          <w:rFonts w:hint="eastAsia" w:ascii="Times New Roman" w:hAnsi="Times New Roman" w:eastAsia="仿宋_GB2312"/>
          <w:sz w:val="32"/>
          <w:szCs w:val="32"/>
        </w:rPr>
        <w:t>《中华人民共和国环境保护法》《中华人民共和国突发事件应对法》《突发环境事件应急管理办法》《企业事业单位突发环境事件应急预案备案管理办法（试行）》（环发〔2015〕4号）《四川省突发生态环境事件应急预案（试行）》（川办发〔2022〕26号）</w:t>
      </w:r>
      <w:r>
        <w:rPr>
          <w:rStyle w:val="25"/>
          <w:rFonts w:hint="eastAsia" w:ascii="Times New Roman" w:hAnsi="Times New Roman" w:eastAsia="仿宋_GB2312"/>
          <w:sz w:val="32"/>
        </w:rPr>
        <w:t>等相关规定，特制定本名录（详见附表）。</w:t>
      </w:r>
    </w:p>
    <w:p>
      <w:pPr>
        <w:overflowPunct w:val="0"/>
        <w:topLinePunct/>
        <w:spacing w:line="600" w:lineRule="exact"/>
        <w:ind w:firstLine="640" w:firstLineChars="200"/>
        <w:rPr>
          <w:rStyle w:val="25"/>
          <w:rFonts w:ascii="Times New Roman" w:hAnsi="Times New Roman" w:eastAsia="仿宋_GB2312"/>
          <w:sz w:val="32"/>
          <w:szCs w:val="32"/>
        </w:rPr>
      </w:pPr>
      <w:r>
        <w:rPr>
          <w:rStyle w:val="25"/>
          <w:rFonts w:hint="eastAsia" w:ascii="Times New Roman" w:hAnsi="Times New Roman" w:eastAsia="黑体"/>
          <w:bCs/>
          <w:sz w:val="32"/>
        </w:rPr>
        <w:t xml:space="preserve">第二条 </w:t>
      </w:r>
      <w:r>
        <w:rPr>
          <w:rStyle w:val="25"/>
          <w:rFonts w:hint="eastAsia" w:ascii="Times New Roman" w:hAnsi="Times New Roman" w:eastAsia="仿宋_GB2312"/>
          <w:sz w:val="32"/>
          <w:szCs w:val="32"/>
        </w:rPr>
        <w:t>本名录所称突发环境事件应急预案，是指企业事业单位为了在应对各类事故、自然灾害时，采取紧急措施，避免或最大程度减少污染物或其他有毒有害物质进入厂界外大气、水体、土壤等环境介质，而预先制定的工作方案。</w:t>
      </w:r>
    </w:p>
    <w:p>
      <w:pPr>
        <w:overflowPunct w:val="0"/>
        <w:topLinePunct/>
        <w:spacing w:line="600" w:lineRule="exact"/>
        <w:ind w:firstLine="640" w:firstLineChars="200"/>
        <w:rPr>
          <w:rStyle w:val="25"/>
          <w:rFonts w:ascii="Times New Roman" w:hAnsi="Times New Roman" w:eastAsia="仿宋_GB2312"/>
          <w:sz w:val="32"/>
        </w:rPr>
      </w:pPr>
      <w:r>
        <w:rPr>
          <w:rStyle w:val="25"/>
          <w:rFonts w:hint="eastAsia" w:ascii="Times New Roman" w:hAnsi="Times New Roman" w:eastAsia="黑体"/>
          <w:bCs/>
          <w:sz w:val="32"/>
          <w:szCs w:val="32"/>
        </w:rPr>
        <w:t xml:space="preserve">第三条 </w:t>
      </w:r>
      <w:r>
        <w:rPr>
          <w:rStyle w:val="25"/>
          <w:rFonts w:hint="eastAsia" w:ascii="Times New Roman" w:hAnsi="Times New Roman" w:eastAsia="仿宋_GB2312"/>
          <w:sz w:val="32"/>
        </w:rPr>
        <w:t>纳入本名录的企业事业单位应当制定符合自身实际的突发环境事件应急预案，按照《企业事业单位突发环境事件应急预案备案管理办法（试行）》</w:t>
      </w:r>
      <w:r>
        <w:rPr>
          <w:rStyle w:val="25"/>
          <w:rFonts w:hint="eastAsia" w:ascii="Times New Roman" w:hAnsi="Times New Roman" w:eastAsia="仿宋_GB2312"/>
          <w:sz w:val="32"/>
          <w:szCs w:val="32"/>
        </w:rPr>
        <w:t>（环发〔2015〕4号）</w:t>
      </w:r>
      <w:r>
        <w:rPr>
          <w:rStyle w:val="25"/>
          <w:rFonts w:hint="eastAsia" w:ascii="Times New Roman" w:hAnsi="Times New Roman" w:eastAsia="仿宋_GB2312"/>
          <w:sz w:val="32"/>
        </w:rPr>
        <w:t>要求，将相关备案材料报所在地县级生态环境主管部门，并按预案要求落实各项风险防范措施。四川省生态环境厅负责全省突发环境事件应急预案备案工作的统一监督管理。</w:t>
      </w:r>
    </w:p>
    <w:p>
      <w:pPr>
        <w:overflowPunct w:val="0"/>
        <w:topLinePunct/>
        <w:spacing w:line="600" w:lineRule="exact"/>
        <w:ind w:firstLine="640" w:firstLineChars="200"/>
        <w:rPr>
          <w:rStyle w:val="25"/>
          <w:rFonts w:ascii="Times New Roman" w:hAnsi="Times New Roman" w:eastAsia="仿宋_GB2312"/>
          <w:sz w:val="32"/>
        </w:rPr>
      </w:pPr>
      <w:r>
        <w:rPr>
          <w:rStyle w:val="25"/>
          <w:rFonts w:hint="eastAsia" w:ascii="Times New Roman" w:hAnsi="Times New Roman" w:eastAsia="黑体"/>
          <w:bCs/>
          <w:sz w:val="32"/>
        </w:rPr>
        <w:t xml:space="preserve">第四条 </w:t>
      </w:r>
      <w:r>
        <w:rPr>
          <w:rStyle w:val="25"/>
          <w:rFonts w:hint="eastAsia" w:ascii="Times New Roman" w:hAnsi="Times New Roman" w:eastAsia="仿宋_GB2312"/>
          <w:sz w:val="32"/>
        </w:rPr>
        <w:t>未纳入本名录的企业</w:t>
      </w:r>
      <w:r>
        <w:rPr>
          <w:rStyle w:val="25"/>
          <w:rFonts w:hint="eastAsia" w:ascii="Times New Roman" w:hAnsi="Times New Roman" w:eastAsia="仿宋_GB2312"/>
          <w:kern w:val="0"/>
          <w:sz w:val="32"/>
          <w:szCs w:val="32"/>
        </w:rPr>
        <w:t>事业单位</w:t>
      </w:r>
      <w:r>
        <w:rPr>
          <w:rStyle w:val="25"/>
          <w:rFonts w:hint="eastAsia" w:ascii="Times New Roman" w:hAnsi="Times New Roman" w:eastAsia="仿宋_GB2312"/>
          <w:sz w:val="32"/>
          <w:szCs w:val="32"/>
        </w:rPr>
        <w:t>，鼓励其制定突发环境事件应急预案，或在突发事件应急预案中制定突发环境事件应急预案专章，并备案。</w:t>
      </w:r>
    </w:p>
    <w:p>
      <w:pPr>
        <w:overflowPunct w:val="0"/>
        <w:topLinePunct/>
        <w:spacing w:line="600" w:lineRule="exact"/>
        <w:ind w:firstLine="640" w:firstLineChars="200"/>
        <w:rPr>
          <w:rStyle w:val="25"/>
          <w:rFonts w:ascii="Times New Roman" w:hAnsi="Times New Roman" w:eastAsia="仿宋_GB2312"/>
          <w:sz w:val="32"/>
        </w:rPr>
      </w:pPr>
      <w:r>
        <w:rPr>
          <w:rStyle w:val="25"/>
          <w:rFonts w:hint="eastAsia" w:ascii="Times New Roman" w:hAnsi="Times New Roman" w:eastAsia="黑体"/>
          <w:bCs/>
          <w:sz w:val="32"/>
        </w:rPr>
        <w:t xml:space="preserve">第五条 </w:t>
      </w:r>
      <w:r>
        <w:rPr>
          <w:rStyle w:val="25"/>
          <w:rFonts w:hint="eastAsia" w:ascii="Times New Roman" w:hAnsi="Times New Roman" w:eastAsia="仿宋_GB2312"/>
          <w:sz w:val="32"/>
        </w:rPr>
        <w:t>核与辐射相关行业未纳入本名录。</w:t>
      </w:r>
    </w:p>
    <w:p>
      <w:pPr>
        <w:overflowPunct w:val="0"/>
        <w:topLinePunct/>
        <w:spacing w:line="600" w:lineRule="exact"/>
        <w:ind w:firstLine="640" w:firstLineChars="200"/>
        <w:rPr>
          <w:rStyle w:val="25"/>
          <w:rFonts w:ascii="Times New Roman" w:hAnsi="Times New Roman" w:eastAsia="仿宋_GB2312"/>
          <w:sz w:val="32"/>
        </w:rPr>
      </w:pPr>
      <w:r>
        <w:rPr>
          <w:rStyle w:val="25"/>
          <w:rFonts w:hint="eastAsia" w:ascii="Times New Roman" w:hAnsi="Times New Roman" w:eastAsia="黑体"/>
          <w:bCs/>
          <w:sz w:val="32"/>
        </w:rPr>
        <w:t xml:space="preserve">第六条 </w:t>
      </w:r>
      <w:r>
        <w:rPr>
          <w:rStyle w:val="25"/>
          <w:rFonts w:hint="eastAsia" w:ascii="Times New Roman" w:hAnsi="Times New Roman" w:eastAsia="仿宋_GB2312"/>
          <w:sz w:val="32"/>
        </w:rPr>
        <w:t>本名录由四川省生态环境厅负责解释，并适时修订。</w:t>
      </w:r>
    </w:p>
    <w:p>
      <w:pPr>
        <w:overflowPunct w:val="0"/>
        <w:topLinePunct/>
        <w:spacing w:line="600" w:lineRule="exact"/>
        <w:ind w:firstLine="640" w:firstLineChars="200"/>
        <w:rPr>
          <w:rStyle w:val="25"/>
          <w:rFonts w:ascii="Times New Roman" w:hAnsi="Times New Roman" w:eastAsia="仿宋_GB2312"/>
          <w:sz w:val="32"/>
        </w:rPr>
      </w:pPr>
      <w:r>
        <w:rPr>
          <w:rStyle w:val="25"/>
          <w:rFonts w:hint="eastAsia" w:ascii="Times New Roman" w:hAnsi="Times New Roman" w:eastAsia="黑体"/>
          <w:bCs/>
          <w:sz w:val="32"/>
        </w:rPr>
        <w:t>第七条</w:t>
      </w:r>
      <w:r>
        <w:rPr>
          <w:rStyle w:val="25"/>
          <w:rFonts w:hint="eastAsia" w:ascii="Times New Roman" w:hAnsi="Times New Roman" w:eastAsia="黑体"/>
          <w:sz w:val="32"/>
        </w:rPr>
        <w:t xml:space="preserve"> </w:t>
      </w:r>
      <w:r>
        <w:rPr>
          <w:rStyle w:val="25"/>
          <w:rFonts w:hint="eastAsia" w:ascii="Times New Roman" w:hAnsi="Times New Roman" w:eastAsia="仿宋_GB2312"/>
          <w:sz w:val="32"/>
        </w:rPr>
        <w:t>本名录自2023年1月15日起实施，有效期5年。《四川省突发环境事件应急预案备案行业名录（试行）》（川环办函〔2019〕504号）同时废止。</w:t>
      </w:r>
    </w:p>
    <w:p>
      <w:pPr>
        <w:pStyle w:val="2"/>
        <w:spacing w:line="600" w:lineRule="exact"/>
        <w:rPr>
          <w:rStyle w:val="25"/>
          <w:rFonts w:ascii="Times New Roman" w:hAnsi="Times New Roman" w:eastAsia="仿宋_GB2312"/>
          <w:sz w:val="32"/>
        </w:rPr>
      </w:pPr>
    </w:p>
    <w:p>
      <w:pPr>
        <w:widowControl/>
        <w:spacing w:line="600" w:lineRule="exact"/>
        <w:jc w:val="left"/>
        <w:rPr>
          <w:rStyle w:val="25"/>
          <w:rFonts w:ascii="Times New Roman" w:hAnsi="Times New Roman" w:eastAsia="仿宋_GB2312" w:cs="Times New Roman"/>
          <w:sz w:val="36"/>
        </w:rPr>
      </w:pPr>
      <w:r>
        <w:rPr>
          <w:rStyle w:val="25"/>
          <w:rFonts w:ascii="Times New Roman" w:hAnsi="Times New Roman" w:eastAsia="仿宋_GB2312"/>
          <w:sz w:val="36"/>
        </w:rPr>
        <w:br w:type="page"/>
      </w:r>
    </w:p>
    <w:p>
      <w:pPr>
        <w:pStyle w:val="2"/>
        <w:spacing w:line="600" w:lineRule="exact"/>
        <w:rPr>
          <w:rStyle w:val="25"/>
          <w:rFonts w:ascii="Times New Roman" w:hAnsi="Times New Roman" w:eastAsia="黑体"/>
          <w:sz w:val="32"/>
          <w:szCs w:val="21"/>
        </w:rPr>
      </w:pPr>
      <w:r>
        <w:rPr>
          <w:rStyle w:val="25"/>
          <w:rFonts w:hint="eastAsia" w:ascii="Times New Roman" w:hAnsi="Times New Roman" w:eastAsia="黑体"/>
          <w:sz w:val="32"/>
          <w:szCs w:val="21"/>
        </w:rPr>
        <w:t>附表</w:t>
      </w:r>
    </w:p>
    <w:p>
      <w:pPr>
        <w:pStyle w:val="2"/>
        <w:spacing w:line="240" w:lineRule="exact"/>
        <w:rPr>
          <w:rStyle w:val="25"/>
          <w:rFonts w:ascii="Times New Roman" w:hAnsi="Times New Roman" w:eastAsia="仿宋_GB2312"/>
          <w:sz w:val="36"/>
        </w:rPr>
      </w:pPr>
    </w:p>
    <w:p>
      <w:pPr>
        <w:pStyle w:val="2"/>
        <w:spacing w:line="600" w:lineRule="exact"/>
        <w:jc w:val="center"/>
        <w:rPr>
          <w:rStyle w:val="25"/>
          <w:rFonts w:ascii="Times New Roman" w:hAnsi="Times New Roman" w:eastAsia="方正小标宋简体"/>
          <w:sz w:val="44"/>
        </w:rPr>
      </w:pPr>
      <w:r>
        <w:rPr>
          <w:rStyle w:val="25"/>
          <w:rFonts w:hint="eastAsia" w:ascii="Times New Roman" w:hAnsi="Times New Roman" w:eastAsia="方正小标宋简体"/>
          <w:sz w:val="44"/>
        </w:rPr>
        <w:t>四川省突发环境事件应急预案备案行业名录（2022年版）</w:t>
      </w:r>
    </w:p>
    <w:p>
      <w:pPr>
        <w:spacing w:line="240" w:lineRule="exact"/>
        <w:rPr>
          <w:rFonts w:ascii="Times New Roman" w:hAnsi="Times New Roman"/>
        </w:rPr>
      </w:pPr>
    </w:p>
    <w:tbl>
      <w:tblPr>
        <w:tblStyle w:val="11"/>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562"/>
        <w:gridCol w:w="537"/>
        <w:gridCol w:w="1003"/>
        <w:gridCol w:w="564"/>
        <w:gridCol w:w="1130"/>
        <w:gridCol w:w="567"/>
        <w:gridCol w:w="2567"/>
        <w:gridCol w:w="8"/>
        <w:gridCol w:w="1967"/>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tblHeader/>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序号</w:t>
            </w:r>
          </w:p>
        </w:tc>
        <w:tc>
          <w:tcPr>
            <w:tcW w:w="1540" w:type="dxa"/>
            <w:gridSpan w:val="2"/>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大类</w:t>
            </w:r>
          </w:p>
        </w:tc>
        <w:tc>
          <w:tcPr>
            <w:tcW w:w="1694" w:type="dxa"/>
            <w:gridSpan w:val="2"/>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中类</w:t>
            </w:r>
          </w:p>
        </w:tc>
        <w:tc>
          <w:tcPr>
            <w:tcW w:w="3134" w:type="dxa"/>
            <w:gridSpan w:val="2"/>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小类</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tblHeader/>
          <w:jc w:val="center"/>
        </w:trPr>
        <w:tc>
          <w:tcPr>
            <w:tcW w:w="562" w:type="dxa"/>
            <w:vMerge w:val="continue"/>
            <w:vAlign w:val="center"/>
          </w:tcPr>
          <w:p>
            <w:pPr>
              <w:overflowPunct w:val="0"/>
              <w:topLinePunct/>
              <w:spacing w:line="300" w:lineRule="exact"/>
              <w:jc w:val="left"/>
              <w:rPr>
                <w:rFonts w:ascii="Times New Roman" w:hAnsi="Times New Roman" w:eastAsia="黑体" w:cs="宋体"/>
                <w:color w:val="000000" w:themeColor="text1"/>
                <w:kern w:val="0"/>
                <w:szCs w:val="21"/>
                <w14:textFill>
                  <w14:solidFill>
                    <w14:schemeClr w14:val="tx1"/>
                  </w14:solidFill>
                </w14:textFill>
              </w:rPr>
            </w:pPr>
          </w:p>
        </w:tc>
        <w:tc>
          <w:tcPr>
            <w:tcW w:w="537" w:type="dxa"/>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行业代码</w:t>
            </w:r>
          </w:p>
        </w:tc>
        <w:tc>
          <w:tcPr>
            <w:tcW w:w="1003" w:type="dxa"/>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行业名称</w:t>
            </w:r>
          </w:p>
        </w:tc>
        <w:tc>
          <w:tcPr>
            <w:tcW w:w="564" w:type="dxa"/>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行业代码</w:t>
            </w:r>
          </w:p>
        </w:tc>
        <w:tc>
          <w:tcPr>
            <w:tcW w:w="1130" w:type="dxa"/>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行业名称</w:t>
            </w:r>
          </w:p>
        </w:tc>
        <w:tc>
          <w:tcPr>
            <w:tcW w:w="567" w:type="dxa"/>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行业代码</w:t>
            </w:r>
          </w:p>
        </w:tc>
        <w:tc>
          <w:tcPr>
            <w:tcW w:w="2567" w:type="dxa"/>
            <w:shd w:val="clear" w:color="auto" w:fill="auto"/>
            <w:vAlign w:val="center"/>
          </w:tcPr>
          <w:p>
            <w:pPr>
              <w:overflowPunct w:val="0"/>
              <w:topLinePunct/>
              <w:spacing w:line="300" w:lineRule="exact"/>
              <w:jc w:val="center"/>
              <w:rPr>
                <w:rFonts w:ascii="Times New Roman" w:hAnsi="Times New Roman" w:eastAsia="黑体" w:cs="宋体"/>
                <w:color w:val="000000" w:themeColor="text1"/>
                <w:kern w:val="0"/>
                <w:szCs w:val="21"/>
                <w14:textFill>
                  <w14:solidFill>
                    <w14:schemeClr w14:val="tx1"/>
                  </w14:solidFill>
                </w14:textFill>
              </w:rPr>
            </w:pPr>
            <w:r>
              <w:rPr>
                <w:rFonts w:hint="eastAsia" w:ascii="Times New Roman" w:hAnsi="Times New Roman" w:eastAsia="黑体" w:cs="宋体"/>
                <w:color w:val="000000" w:themeColor="text1"/>
                <w:kern w:val="0"/>
                <w:szCs w:val="21"/>
                <w14:textFill>
                  <w14:solidFill>
                    <w14:schemeClr w14:val="tx1"/>
                  </w14:solidFill>
                </w14:textFill>
              </w:rPr>
              <w:t>行业名称</w:t>
            </w:r>
          </w:p>
        </w:tc>
        <w:tc>
          <w:tcPr>
            <w:tcW w:w="1975" w:type="dxa"/>
            <w:gridSpan w:val="2"/>
            <w:vMerge w:val="continue"/>
            <w:vAlign w:val="center"/>
          </w:tcPr>
          <w:p>
            <w:pPr>
              <w:overflowPunct w:val="0"/>
              <w:topLinePunct/>
              <w:spacing w:line="300" w:lineRule="exact"/>
              <w:jc w:val="left"/>
              <w:rPr>
                <w:rFonts w:ascii="Times New Roman" w:hAnsi="Times New Roman" w:eastAsia="黑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A03</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畜牧业</w:t>
            </w: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31</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牲畜饲养</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311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牛的饲养</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年出栏生猪</w:t>
            </w:r>
            <w:r>
              <w:rPr>
                <w:rFonts w:ascii="Times New Roman" w:hAnsi="Times New Roman" w:eastAsia="仿宋_GB2312"/>
                <w:color w:val="000000" w:themeColor="text1"/>
                <w:kern w:val="0"/>
                <w:szCs w:val="21"/>
                <w14:textFill>
                  <w14:solidFill>
                    <w14:schemeClr w14:val="tx1"/>
                  </w14:solidFill>
                </w14:textFill>
              </w:rPr>
              <w:t>5000</w:t>
            </w:r>
            <w:r>
              <w:rPr>
                <w:rFonts w:hint="eastAsia" w:ascii="Times New Roman" w:hAnsi="Times New Roman" w:eastAsia="仿宋_GB2312" w:cs="宋体"/>
                <w:color w:val="000000" w:themeColor="text1"/>
                <w:kern w:val="0"/>
                <w:szCs w:val="21"/>
                <w14:textFill>
                  <w14:solidFill>
                    <w14:schemeClr w14:val="tx1"/>
                  </w14:solidFill>
                </w14:textFill>
              </w:rPr>
              <w:t>头（其他畜禽种类折合猪的养殖量）及以上的规模化畜禽养殖；存栏生猪</w:t>
            </w:r>
            <w:r>
              <w:rPr>
                <w:rFonts w:ascii="Times New Roman" w:hAnsi="Times New Roman" w:eastAsia="仿宋_GB2312"/>
                <w:color w:val="000000" w:themeColor="text1"/>
                <w:kern w:val="0"/>
                <w:szCs w:val="21"/>
                <w14:textFill>
                  <w14:solidFill>
                    <w14:schemeClr w14:val="tx1"/>
                  </w14:solidFill>
                </w14:textFill>
              </w:rPr>
              <w:t>2500</w:t>
            </w:r>
            <w:r>
              <w:rPr>
                <w:rFonts w:hint="eastAsia" w:ascii="Times New Roman" w:hAnsi="Times New Roman" w:eastAsia="仿宋_GB2312" w:cs="宋体"/>
                <w:color w:val="000000" w:themeColor="text1"/>
                <w:kern w:val="0"/>
                <w:szCs w:val="21"/>
                <w14:textFill>
                  <w14:solidFill>
                    <w14:schemeClr w14:val="tx1"/>
                  </w14:solidFill>
                </w14:textFill>
              </w:rPr>
              <w:t>头（其他畜禽种类折合猪的养殖规模）及以上无出栏量的规模化畜禽养殖；涉及（一）（三）类环境敏感区域的规模化畜禽养殖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312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马的饲养</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313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猪的饲养</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314</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羊的饲养</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319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其他牲畜饲养</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32</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家禽饲养</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321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鸡的饲养</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322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鸭的饲养</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323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鹅的饲养</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329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其他家禽饲养</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B06</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煤炭开采和洗选业</w:t>
            </w: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61</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烟煤和无烟煤开采洗选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610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烟煤和无烟煤开采洗选</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62</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spacing w:val="-20"/>
                <w:kern w:val="0"/>
                <w:szCs w:val="21"/>
                <w14:textFill>
                  <w14:solidFill>
                    <w14:schemeClr w14:val="tx1"/>
                  </w14:solidFill>
                </w14:textFill>
              </w:rPr>
            </w:pPr>
            <w:r>
              <w:rPr>
                <w:rFonts w:hint="eastAsia" w:ascii="Times New Roman" w:hAnsi="Times New Roman" w:eastAsia="仿宋_GB2312" w:cs="宋体"/>
                <w:color w:val="000000" w:themeColor="text1"/>
                <w:spacing w:val="-20"/>
                <w:kern w:val="0"/>
                <w:szCs w:val="21"/>
                <w14:textFill>
                  <w14:solidFill>
                    <w14:schemeClr w14:val="tx1"/>
                  </w14:solidFill>
                </w14:textFill>
              </w:rPr>
              <w:t>褐煤开采洗选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620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褐煤开采洗选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69</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spacing w:val="-20"/>
                <w:kern w:val="0"/>
                <w:szCs w:val="21"/>
                <w14:textFill>
                  <w14:solidFill>
                    <w14:schemeClr w14:val="tx1"/>
                  </w14:solidFill>
                </w14:textFill>
              </w:rPr>
            </w:pPr>
            <w:r>
              <w:rPr>
                <w:rFonts w:hint="eastAsia" w:ascii="Times New Roman" w:hAnsi="Times New Roman" w:eastAsia="仿宋_GB2312" w:cs="宋体"/>
                <w:color w:val="000000" w:themeColor="text1"/>
                <w:spacing w:val="-20"/>
                <w:kern w:val="0"/>
                <w:szCs w:val="21"/>
                <w14:textFill>
                  <w14:solidFill>
                    <w14:schemeClr w14:val="tx1"/>
                  </w14:solidFill>
                </w14:textFill>
              </w:rPr>
              <w:t>其他煤炭采选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690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其他煤炭采选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B07</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石油和天然气开采业</w:t>
            </w: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71</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石油开采</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711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陆地石油开采</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72</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天然气开采</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721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陆地天然气开采</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B08</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黑色金属矿采选业</w:t>
            </w: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81</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铁矿采选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810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铁矿采选</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82</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锰矿、铬矿采选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820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锰矿、铬矿采选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89</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其他黑色金属矿采选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890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其他黑色金属矿采选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B09</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有色金属矿采选业</w:t>
            </w: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91</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常用有色金属矿采选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911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铜矿采选</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912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铅锌矿采选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913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镍钴矿采选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914</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锡矿采选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915</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锑矿采选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916</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铝矿采选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917</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镁矿采选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919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其他常用有色金属矿采选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B09</w:t>
            </w:r>
          </w:p>
        </w:tc>
        <w:tc>
          <w:tcPr>
            <w:tcW w:w="1003" w:type="dxa"/>
            <w:vMerge w:val="restart"/>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有色金属矿采选业</w:t>
            </w: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92</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贵金属矿采选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921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金矿采选</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922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银矿采选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929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其他贵金属矿采选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93</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稀有稀土金属矿采选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931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钨钼矿采选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932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稀土金属矿采选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933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放射性金属矿采选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0</w:t>
            </w:r>
            <w:r>
              <w:rPr>
                <w:rFonts w:ascii="Times New Roman" w:hAnsi="Times New Roman" w:eastAsia="等线"/>
                <w:color w:val="000000" w:themeColor="text1"/>
                <w:kern w:val="0"/>
                <w:szCs w:val="21"/>
                <w14:textFill>
                  <w14:solidFill>
                    <w14:schemeClr w14:val="tx1"/>
                  </w14:solidFill>
                </w14:textFill>
              </w:rPr>
              <w:t>939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其他稀有金属矿采选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6</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B10</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非金属矿采选业</w:t>
            </w: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102</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化学矿开采</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1020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化学矿开采</w:t>
            </w:r>
          </w:p>
        </w:tc>
        <w:tc>
          <w:tcPr>
            <w:tcW w:w="1975" w:type="dxa"/>
            <w:gridSpan w:val="2"/>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103</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采盐</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1030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采盐</w:t>
            </w:r>
          </w:p>
        </w:tc>
        <w:tc>
          <w:tcPr>
            <w:tcW w:w="1975" w:type="dxa"/>
            <w:gridSpan w:val="2"/>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井盐、湖盐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109</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石棉及其他非金属矿采选</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1091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石棉、云母矿采选</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1092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石墨、滑石采选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1093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宝石、玉石采选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1099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其他未列明非金属矿采选</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w:t>
            </w:r>
          </w:p>
        </w:tc>
        <w:tc>
          <w:tcPr>
            <w:tcW w:w="53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C13</w:t>
            </w:r>
          </w:p>
        </w:tc>
        <w:tc>
          <w:tcPr>
            <w:tcW w:w="1003"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农副食品加工业</w:t>
            </w:r>
          </w:p>
        </w:tc>
        <w:tc>
          <w:tcPr>
            <w:tcW w:w="564"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132</w:t>
            </w:r>
          </w:p>
        </w:tc>
        <w:tc>
          <w:tcPr>
            <w:tcW w:w="1130"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饲料加工</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1321</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宠物饲料加工</w:t>
            </w:r>
          </w:p>
        </w:tc>
        <w:tc>
          <w:tcPr>
            <w:tcW w:w="1975" w:type="dxa"/>
            <w:gridSpan w:val="2"/>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含发酵工艺的；年加工1万吨及以上的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1329</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其他饲料加工</w:t>
            </w:r>
          </w:p>
        </w:tc>
        <w:tc>
          <w:tcPr>
            <w:tcW w:w="1975" w:type="dxa"/>
            <w:gridSpan w:val="2"/>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133</w:t>
            </w:r>
          </w:p>
        </w:tc>
        <w:tc>
          <w:tcPr>
            <w:tcW w:w="1130"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植物油加工</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1331</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食用植物油加工</w:t>
            </w:r>
          </w:p>
        </w:tc>
        <w:tc>
          <w:tcPr>
            <w:tcW w:w="1975" w:type="dxa"/>
            <w:gridSpan w:val="2"/>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有浸出工艺的或者使用有机溶剂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1332</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非食用植物油加工</w:t>
            </w:r>
          </w:p>
        </w:tc>
        <w:tc>
          <w:tcPr>
            <w:tcW w:w="1975" w:type="dxa"/>
            <w:gridSpan w:val="2"/>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134</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制糖业</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1340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制糖业</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日加工糖料能力</w:t>
            </w:r>
            <w:r>
              <w:rPr>
                <w:rFonts w:ascii="Times New Roman" w:hAnsi="Times New Roman" w:eastAsia="仿宋_GB2312"/>
                <w:color w:val="000000" w:themeColor="text1"/>
                <w:kern w:val="0"/>
                <w:szCs w:val="21"/>
                <w14:textFill>
                  <w14:solidFill>
                    <w14:schemeClr w14:val="tx1"/>
                  </w14:solidFill>
                </w14:textFill>
              </w:rPr>
              <w:t>1000</w:t>
            </w:r>
            <w:r>
              <w:rPr>
                <w:rFonts w:hint="eastAsia" w:ascii="Times New Roman" w:hAnsi="Times New Roman" w:eastAsia="仿宋_GB2312" w:cs="宋体"/>
                <w:color w:val="000000" w:themeColor="text1"/>
                <w:kern w:val="0"/>
                <w:szCs w:val="21"/>
                <w14:textFill>
                  <w14:solidFill>
                    <w14:schemeClr w14:val="tx1"/>
                  </w14:solidFill>
                </w14:textFill>
              </w:rPr>
              <w:t>吨及以上的原糖生产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135</w:t>
            </w:r>
          </w:p>
        </w:tc>
        <w:tc>
          <w:tcPr>
            <w:tcW w:w="1130"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屠宰及肉类加工</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1351</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牲畜屠宰</w:t>
            </w:r>
          </w:p>
        </w:tc>
        <w:tc>
          <w:tcPr>
            <w:tcW w:w="1975" w:type="dxa"/>
            <w:gridSpan w:val="2"/>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年屠宰生猪</w:t>
            </w:r>
            <w:r>
              <w:rPr>
                <w:rFonts w:ascii="Times New Roman" w:hAnsi="Times New Roman" w:eastAsia="仿宋_GB2312"/>
                <w:color w:val="000000" w:themeColor="text1"/>
                <w:kern w:val="0"/>
                <w:szCs w:val="21"/>
                <w14:textFill>
                  <w14:solidFill>
                    <w14:schemeClr w14:val="tx1"/>
                  </w14:solidFill>
                </w14:textFill>
              </w:rPr>
              <w:t>15</w:t>
            </w:r>
            <w:r>
              <w:rPr>
                <w:rFonts w:hint="eastAsia" w:ascii="Times New Roman" w:hAnsi="Times New Roman" w:eastAsia="仿宋_GB2312" w:cs="宋体"/>
                <w:color w:val="000000" w:themeColor="text1"/>
                <w:kern w:val="0"/>
                <w:szCs w:val="21"/>
                <w14:textFill>
                  <w14:solidFill>
                    <w14:schemeClr w14:val="tx1"/>
                  </w14:solidFill>
                </w14:textFill>
              </w:rPr>
              <w:t>万头、肉牛</w:t>
            </w:r>
            <w:r>
              <w:rPr>
                <w:rFonts w:ascii="Times New Roman" w:hAnsi="Times New Roman" w:eastAsia="仿宋_GB2312"/>
                <w:color w:val="000000" w:themeColor="text1"/>
                <w:kern w:val="0"/>
                <w:szCs w:val="21"/>
                <w14:textFill>
                  <w14:solidFill>
                    <w14:schemeClr w14:val="tx1"/>
                  </w14:solidFill>
                </w14:textFill>
              </w:rPr>
              <w:t>1</w:t>
            </w:r>
            <w:r>
              <w:rPr>
                <w:rFonts w:hint="eastAsia" w:ascii="Times New Roman" w:hAnsi="Times New Roman" w:eastAsia="仿宋_GB2312" w:cs="宋体"/>
                <w:color w:val="000000" w:themeColor="text1"/>
                <w:kern w:val="0"/>
                <w:szCs w:val="21"/>
                <w14:textFill>
                  <w14:solidFill>
                    <w14:schemeClr w14:val="tx1"/>
                  </w14:solidFill>
                </w14:textFill>
              </w:rPr>
              <w:t>万头、肉羊</w:t>
            </w:r>
            <w:r>
              <w:rPr>
                <w:rFonts w:ascii="Times New Roman" w:hAnsi="Times New Roman" w:eastAsia="仿宋_GB2312"/>
                <w:color w:val="000000" w:themeColor="text1"/>
                <w:kern w:val="0"/>
                <w:szCs w:val="21"/>
                <w14:textFill>
                  <w14:solidFill>
                    <w14:schemeClr w14:val="tx1"/>
                  </w14:solidFill>
                </w14:textFill>
              </w:rPr>
              <w:t>15</w:t>
            </w:r>
            <w:r>
              <w:rPr>
                <w:rFonts w:hint="eastAsia" w:ascii="Times New Roman" w:hAnsi="Times New Roman" w:eastAsia="仿宋_GB2312" w:cs="宋体"/>
                <w:color w:val="000000" w:themeColor="text1"/>
                <w:kern w:val="0"/>
                <w:szCs w:val="21"/>
                <w14:textFill>
                  <w14:solidFill>
                    <w14:schemeClr w14:val="tx1"/>
                  </w14:solidFill>
                </w14:textFill>
              </w:rPr>
              <w:t>万只、禽类</w:t>
            </w:r>
            <w:r>
              <w:rPr>
                <w:rFonts w:ascii="Times New Roman" w:hAnsi="Times New Roman" w:eastAsia="仿宋_GB2312"/>
                <w:color w:val="000000" w:themeColor="text1"/>
                <w:kern w:val="0"/>
                <w:szCs w:val="21"/>
                <w14:textFill>
                  <w14:solidFill>
                    <w14:schemeClr w14:val="tx1"/>
                  </w14:solidFill>
                </w14:textFill>
              </w:rPr>
              <w:t>1000</w:t>
            </w:r>
            <w:r>
              <w:rPr>
                <w:rFonts w:hint="eastAsia" w:ascii="Times New Roman" w:hAnsi="Times New Roman" w:eastAsia="仿宋_GB2312" w:cs="宋体"/>
                <w:color w:val="000000" w:themeColor="text1"/>
                <w:kern w:val="0"/>
                <w:szCs w:val="21"/>
                <w14:textFill>
                  <w14:solidFill>
                    <w14:schemeClr w14:val="tx1"/>
                  </w14:solidFill>
                </w14:textFill>
              </w:rPr>
              <w:t>万只及以上；乡镇（含）以上带冻库和使用化学制冷剂的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1352</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禽类屠宰</w:t>
            </w:r>
          </w:p>
        </w:tc>
        <w:tc>
          <w:tcPr>
            <w:tcW w:w="1975" w:type="dxa"/>
            <w:gridSpan w:val="2"/>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137</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蔬菜、菌类、水果和坚果加工</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1371</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蔬菜加工</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产生浓盐水的腌渍菜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6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139</w:t>
            </w:r>
          </w:p>
        </w:tc>
        <w:tc>
          <w:tcPr>
            <w:tcW w:w="1130"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其他农副食品加工</w:t>
            </w:r>
          </w:p>
        </w:tc>
        <w:tc>
          <w:tcPr>
            <w:tcW w:w="56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1391</w:t>
            </w:r>
          </w:p>
        </w:tc>
        <w:tc>
          <w:tcPr>
            <w:tcW w:w="2567"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淀粉及淀粉品制造</w:t>
            </w:r>
          </w:p>
        </w:tc>
        <w:tc>
          <w:tcPr>
            <w:tcW w:w="1975" w:type="dxa"/>
            <w:gridSpan w:val="2"/>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含发酵工艺的淀粉、淀粉糖制造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6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2567"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6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2567"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6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2567"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C14</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食品制造业</w:t>
            </w: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146</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调味品、发酵制品制造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1461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味精制造</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有发酵工艺的味精、柠檬酸、赖氨酸、酵母制造；年产</w:t>
            </w:r>
            <w:r>
              <w:rPr>
                <w:rFonts w:ascii="Times New Roman" w:hAnsi="Times New Roman" w:eastAsia="仿宋_GB2312"/>
                <w:color w:val="000000" w:themeColor="text1"/>
                <w:kern w:val="0"/>
                <w:szCs w:val="21"/>
                <w14:textFill>
                  <w14:solidFill>
                    <w14:schemeClr w14:val="tx1"/>
                  </w14:solidFill>
                </w14:textFill>
              </w:rPr>
              <w:t>2</w:t>
            </w:r>
            <w:r>
              <w:rPr>
                <w:rFonts w:hint="eastAsia" w:ascii="Times New Roman" w:hAnsi="Times New Roman" w:eastAsia="仿宋_GB2312" w:cs="宋体"/>
                <w:color w:val="000000" w:themeColor="text1"/>
                <w:kern w:val="0"/>
                <w:szCs w:val="21"/>
                <w14:textFill>
                  <w14:solidFill>
                    <w14:schemeClr w14:val="tx1"/>
                  </w14:solidFill>
                </w14:textFill>
              </w:rPr>
              <w:t>万吨及以上且有发酵工艺的酱油、食醋制造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1462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酱油、食醋及类似制品制造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1469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其他调味品、发酵制品制造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9</w:t>
            </w:r>
          </w:p>
        </w:tc>
        <w:tc>
          <w:tcPr>
            <w:tcW w:w="537"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C15</w:t>
            </w:r>
          </w:p>
        </w:tc>
        <w:tc>
          <w:tcPr>
            <w:tcW w:w="1003"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酒、饮料和精制茶制造业</w:t>
            </w: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151</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酒的制造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1511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酒精制造</w:t>
            </w:r>
          </w:p>
        </w:tc>
        <w:tc>
          <w:tcPr>
            <w:tcW w:w="1975" w:type="dxa"/>
            <w:gridSpan w:val="2"/>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有发酵工艺的（年生产能力</w:t>
            </w:r>
            <w:r>
              <w:rPr>
                <w:rFonts w:ascii="Times New Roman" w:hAnsi="Times New Roman" w:eastAsia="仿宋_GB2312"/>
                <w:color w:val="000000" w:themeColor="text1"/>
                <w:kern w:val="0"/>
                <w:szCs w:val="21"/>
                <w14:textFill>
                  <w14:solidFill>
                    <w14:schemeClr w14:val="tx1"/>
                  </w14:solidFill>
                </w14:textFill>
              </w:rPr>
              <w:t>1000</w:t>
            </w:r>
            <w:r>
              <w:rPr>
                <w:rFonts w:hint="eastAsia" w:ascii="Times New Roman" w:hAnsi="Times New Roman" w:eastAsia="仿宋_GB2312" w:cs="宋体"/>
                <w:color w:val="000000" w:themeColor="text1"/>
                <w:kern w:val="0"/>
                <w:szCs w:val="21"/>
                <w14:textFill>
                  <w14:solidFill>
                    <w14:schemeClr w14:val="tx1"/>
                  </w14:solidFill>
                </w14:textFill>
              </w:rPr>
              <w:t>千升以下的除外）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1512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白酒制造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1513</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啤酒制造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1514</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黄酒制造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1515</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葡萄酒制造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1519</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其他酒制造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152</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饮料制造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1521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碳酸饮料制造</w:t>
            </w:r>
          </w:p>
        </w:tc>
        <w:tc>
          <w:tcPr>
            <w:tcW w:w="1975" w:type="dxa"/>
            <w:gridSpan w:val="2"/>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有发酵工艺的、原汁生产的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1523</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果菜汁及果菜汁饮料制造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1529</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茶饮料及其他饮料制造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10</w:t>
            </w:r>
          </w:p>
        </w:tc>
        <w:tc>
          <w:tcPr>
            <w:tcW w:w="537"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C17</w:t>
            </w:r>
          </w:p>
        </w:tc>
        <w:tc>
          <w:tcPr>
            <w:tcW w:w="1003"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纺织业</w:t>
            </w: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171</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棉纺织及印染精加工</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1711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棉纺纱加工</w:t>
            </w:r>
          </w:p>
        </w:tc>
        <w:tc>
          <w:tcPr>
            <w:tcW w:w="1975" w:type="dxa"/>
            <w:gridSpan w:val="2"/>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有洗毛、脱胶、缫丝工艺的；染整工艺有前处理、染色、印花（喷墨印花和数码印花的除外）工序的；有使用有机溶剂的涂层工艺的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1712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棉织造加工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1713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棉印染精加工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172</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毛纺织及染整精加工</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1721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毛条和毛纱线加工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1722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毛织造加工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1723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毛染整精加工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173</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麻纺织及染整精加工</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1731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麻纤维纺前加工和纺纱</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1732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麻织造加工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1733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麻染整精加工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174</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丝绢纺织及印染精加工</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1741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缫丝加工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1742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绢纺和丝织加工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1743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丝印染精加工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175</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化纤织造及印染精加工</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1751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化纤织造加工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1752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化纤织物染整精加工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176</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针织或钩针编织物及其制品制造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1761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针织或钩针编织物织造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1762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针织或钩针编织物印染精加工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1763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针织或钩针编织品制造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177</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家用纺织制成品制造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1771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床上用品制造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1772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毛巾类制品制造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1773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窗帘、布艺类产品制造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1779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其他家用纺织制成品制造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178</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产业用纺织制成品制造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1781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非织造布制造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1782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绳、索、缆制造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1783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纺织带和帘子布制造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1784</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篷、帆布制造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1789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其他产业用纺织制成品制造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11</w:t>
            </w:r>
          </w:p>
        </w:tc>
        <w:tc>
          <w:tcPr>
            <w:tcW w:w="537" w:type="dxa"/>
            <w:vMerge w:val="restart"/>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C18</w:t>
            </w:r>
          </w:p>
        </w:tc>
        <w:tc>
          <w:tcPr>
            <w:tcW w:w="1003" w:type="dxa"/>
            <w:vMerge w:val="restart"/>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纺织服装、服饰业</w:t>
            </w:r>
          </w:p>
        </w:tc>
        <w:tc>
          <w:tcPr>
            <w:tcW w:w="564" w:type="dxa"/>
            <w:vMerge w:val="restart"/>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181</w:t>
            </w:r>
          </w:p>
        </w:tc>
        <w:tc>
          <w:tcPr>
            <w:tcW w:w="1130" w:type="dxa"/>
            <w:vMerge w:val="restart"/>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机织服装制造</w:t>
            </w: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1811</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运动机织服装制造</w:t>
            </w:r>
          </w:p>
        </w:tc>
        <w:tc>
          <w:tcPr>
            <w:tcW w:w="1975" w:type="dxa"/>
            <w:gridSpan w:val="2"/>
            <w:vMerge w:val="restart"/>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有染色、印花（喷墨印花和数码印花的除外）工序的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1819</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其他机织服装制造</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182</w:t>
            </w:r>
          </w:p>
        </w:tc>
        <w:tc>
          <w:tcPr>
            <w:tcW w:w="1130" w:type="dxa"/>
            <w:vMerge w:val="restart"/>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针织或钩针编织服装制造</w:t>
            </w: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1821</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运动休闲针织服装制造</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1829</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其他针织或钩针编织服装制造</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183</w:t>
            </w:r>
          </w:p>
        </w:tc>
        <w:tc>
          <w:tcPr>
            <w:tcW w:w="1130"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服饰制造</w:t>
            </w: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1830</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服饰制造</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12</w:t>
            </w:r>
          </w:p>
        </w:tc>
        <w:tc>
          <w:tcPr>
            <w:tcW w:w="537" w:type="dxa"/>
            <w:vMerge w:val="restart"/>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C19</w:t>
            </w:r>
          </w:p>
        </w:tc>
        <w:tc>
          <w:tcPr>
            <w:tcW w:w="1003" w:type="dxa"/>
            <w:vMerge w:val="restart"/>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皮革、毛皮、羽毛及其制品和制鞋业</w:t>
            </w:r>
          </w:p>
        </w:tc>
        <w:tc>
          <w:tcPr>
            <w:tcW w:w="564"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191</w:t>
            </w:r>
          </w:p>
        </w:tc>
        <w:tc>
          <w:tcPr>
            <w:tcW w:w="1130"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皮革鞣制加工</w:t>
            </w: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1910</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皮革鞣制加工</w:t>
            </w:r>
          </w:p>
        </w:tc>
        <w:tc>
          <w:tcPr>
            <w:tcW w:w="1975" w:type="dxa"/>
            <w:gridSpan w:val="2"/>
            <w:vMerge w:val="restart"/>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有鞣制、染色工艺的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193</w:t>
            </w:r>
          </w:p>
        </w:tc>
        <w:tc>
          <w:tcPr>
            <w:tcW w:w="1130" w:type="dxa"/>
            <w:vMerge w:val="restart"/>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毛皮鞣制及制品加工</w:t>
            </w: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1931</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毛皮鞣制加工</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1932</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毛皮服装加工</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1939</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其他毛皮制品加工</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195</w:t>
            </w:r>
          </w:p>
        </w:tc>
        <w:tc>
          <w:tcPr>
            <w:tcW w:w="1130" w:type="dxa"/>
            <w:vMerge w:val="restart"/>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制鞋业</w:t>
            </w: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1951</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纺织面料鞋制造</w:t>
            </w:r>
          </w:p>
        </w:tc>
        <w:tc>
          <w:tcPr>
            <w:tcW w:w="1975" w:type="dxa"/>
            <w:gridSpan w:val="2"/>
            <w:vMerge w:val="restart"/>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有橡胶硫化工艺、塑料注塑工艺的；年用溶剂型胶黏剂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吨及以上的，或年用溶剂型处理剂</w:t>
            </w:r>
            <w:r>
              <w:rPr>
                <w:rFonts w:ascii="Times New Roman" w:hAnsi="Times New Roman" w:eastAsia="仿宋_GB2312"/>
                <w:color w:val="000000" w:themeColor="text1"/>
                <w:kern w:val="0"/>
                <w:szCs w:val="21"/>
                <w14:textFill>
                  <w14:solidFill>
                    <w14:schemeClr w14:val="tx1"/>
                  </w14:solidFill>
                </w14:textFill>
              </w:rPr>
              <w:t>3</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1952</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皮鞋制造</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1953</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塑料鞋制造</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1954</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橡胶鞋制造</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1959</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其他制鞋业</w:t>
            </w:r>
          </w:p>
        </w:tc>
        <w:tc>
          <w:tcPr>
            <w:tcW w:w="1975" w:type="dxa"/>
            <w:gridSpan w:val="2"/>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13</w:t>
            </w:r>
          </w:p>
        </w:tc>
        <w:tc>
          <w:tcPr>
            <w:tcW w:w="537"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C20</w:t>
            </w:r>
          </w:p>
        </w:tc>
        <w:tc>
          <w:tcPr>
            <w:tcW w:w="1003"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木材加工和木、竹、藤、棕、草制品业</w:t>
            </w: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201</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木材加工</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2011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锯材加工</w:t>
            </w:r>
          </w:p>
        </w:tc>
        <w:tc>
          <w:tcPr>
            <w:tcW w:w="1975" w:type="dxa"/>
            <w:gridSpan w:val="2"/>
            <w:vMerge w:val="restart"/>
            <w:shd w:val="clear" w:color="auto" w:fill="auto"/>
            <w:vAlign w:val="center"/>
          </w:tcPr>
          <w:p>
            <w:pPr>
              <w:overflowPunct w:val="0"/>
              <w:topLinePunct/>
              <w:spacing w:line="32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有电镀工艺的；年用溶剂型涂料（含稀释剂）10吨及以上的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2012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木片加工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2013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单板加工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2019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其他木材加工</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202</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人造板制造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2021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胶合板制造</w:t>
            </w:r>
          </w:p>
        </w:tc>
        <w:tc>
          <w:tcPr>
            <w:tcW w:w="1975" w:type="dxa"/>
            <w:gridSpan w:val="2"/>
            <w:vMerge w:val="restart"/>
            <w:shd w:val="clear" w:color="auto" w:fill="auto"/>
            <w:vAlign w:val="center"/>
          </w:tcPr>
          <w:p>
            <w:pPr>
              <w:overflowPunct w:val="0"/>
              <w:topLinePunct/>
              <w:spacing w:line="32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年产20万立方米及以上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2022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纤维板制造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2023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刨花板制造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2029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其他人造板制造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203</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木质制品制造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2031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建筑用木料及木材组件加工</w:t>
            </w:r>
          </w:p>
        </w:tc>
        <w:tc>
          <w:tcPr>
            <w:tcW w:w="1975" w:type="dxa"/>
            <w:gridSpan w:val="2"/>
            <w:vMerge w:val="restart"/>
            <w:shd w:val="clear" w:color="auto" w:fill="auto"/>
            <w:vAlign w:val="center"/>
          </w:tcPr>
          <w:p>
            <w:pPr>
              <w:overflowPunct w:val="0"/>
              <w:topLinePunct/>
              <w:spacing w:line="32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有电镀工艺的；年用溶剂型涂料（含稀释剂）10吨及以上的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2032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木门窗制造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2033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木楼梯制造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2034</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木地板制造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2035</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木制容器制造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2039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软木制品及其他木制品制造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204</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竹、藤、棕、草等制品制造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2041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竹制品制造</w:t>
            </w:r>
          </w:p>
        </w:tc>
        <w:tc>
          <w:tcPr>
            <w:tcW w:w="1975" w:type="dxa"/>
            <w:gridSpan w:val="2"/>
            <w:vMerge w:val="restart"/>
            <w:shd w:val="clear" w:color="auto" w:fill="auto"/>
            <w:vAlign w:val="center"/>
          </w:tcPr>
          <w:p>
            <w:pPr>
              <w:overflowPunct w:val="0"/>
              <w:topLinePunct/>
              <w:spacing w:line="32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有电镀工艺的；年用溶剂型涂料（含稀释剂）10吨及以上的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2042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藤制品制造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2043</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棕制品制造</w:t>
            </w:r>
          </w:p>
        </w:tc>
        <w:tc>
          <w:tcPr>
            <w:tcW w:w="1975" w:type="dxa"/>
            <w:gridSpan w:val="2"/>
            <w:vMerge w:val="continue"/>
            <w:vAlign w:val="center"/>
          </w:tcPr>
          <w:p>
            <w:pPr>
              <w:overflowPunct w:val="0"/>
              <w:topLinePunct/>
              <w:spacing w:line="33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3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3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3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2049</w:t>
            </w:r>
          </w:p>
        </w:tc>
        <w:tc>
          <w:tcPr>
            <w:tcW w:w="2567" w:type="dxa"/>
            <w:shd w:val="clear" w:color="auto" w:fill="auto"/>
            <w:vAlign w:val="center"/>
          </w:tcPr>
          <w:p>
            <w:pPr>
              <w:overflowPunct w:val="0"/>
              <w:topLinePunct/>
              <w:spacing w:line="33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草及其他制品制造</w:t>
            </w:r>
          </w:p>
        </w:tc>
        <w:tc>
          <w:tcPr>
            <w:tcW w:w="1975" w:type="dxa"/>
            <w:gridSpan w:val="2"/>
            <w:vMerge w:val="continue"/>
            <w:vAlign w:val="center"/>
          </w:tcPr>
          <w:p>
            <w:pPr>
              <w:overflowPunct w:val="0"/>
              <w:topLinePunct/>
              <w:spacing w:line="330" w:lineRule="exact"/>
              <w:jc w:val="left"/>
              <w:rPr>
                <w:rFonts w:ascii="Times New Roman" w:hAnsi="Times New Roman" w:eastAsia="仿宋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14</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C21</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家具制造业</w:t>
            </w: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211</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木质家具制造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2110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木质家具制造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olor w:val="000000" w:themeColor="text1"/>
                <w:kern w:val="0"/>
                <w:szCs w:val="21"/>
                <w14:textFill>
                  <w14:solidFill>
                    <w14:schemeClr w14:val="tx1"/>
                  </w14:solidFill>
                </w14:textFill>
              </w:rPr>
            </w:pPr>
            <w:r>
              <w:rPr>
                <w:rFonts w:ascii="Times New Roman" w:hAnsi="Times New Roman" w:eastAsia="仿宋_GB2312"/>
                <w:color w:val="000000" w:themeColor="text1"/>
                <w:kern w:val="0"/>
                <w:szCs w:val="21"/>
                <w14:textFill>
                  <w14:solidFill>
                    <w14:schemeClr w14:val="tx1"/>
                  </w14:solidFill>
                </w14:textFill>
              </w:rPr>
              <w:t>有电镀工艺的；年用溶剂型涂料（含稀释剂）10吨及以上的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212</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竹、藤家具制造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2120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竹、藤家具制造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213</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金属家具制造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2130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金属家具制造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214</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塑料家具制造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2140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塑料家具制造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219</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其他家具制造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2190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其他家具制造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15</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C22</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造纸和纸制品业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纸浆制造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2211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木竹浆制造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手工纸、加工纸制造的除外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非木竹浆制造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222</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造纸</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2221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机制纸及纸板制造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2222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手工纸制造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2223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加工纸制造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223</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纸制品制造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2231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纸和纸板容器制造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有涂布、浸渍、印刷、粘胶工艺的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2239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其他纸制品制造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16</w:t>
            </w:r>
          </w:p>
        </w:tc>
        <w:tc>
          <w:tcPr>
            <w:tcW w:w="537"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C23</w:t>
            </w:r>
          </w:p>
        </w:tc>
        <w:tc>
          <w:tcPr>
            <w:tcW w:w="1003"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印刷和记录媒介复制业</w:t>
            </w: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231</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印刷</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2311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书、报刊印刷</w:t>
            </w:r>
          </w:p>
        </w:tc>
        <w:tc>
          <w:tcPr>
            <w:tcW w:w="1975" w:type="dxa"/>
            <w:gridSpan w:val="2"/>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年用溶剂油墨</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2312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本册印制</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2319</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包装装潢及其他印刷</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17</w:t>
            </w:r>
          </w:p>
        </w:tc>
        <w:tc>
          <w:tcPr>
            <w:tcW w:w="537"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C24</w:t>
            </w:r>
          </w:p>
        </w:tc>
        <w:tc>
          <w:tcPr>
            <w:tcW w:w="1003"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文教、工美、体育和娱乐用品制造业</w:t>
            </w: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243</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工艺美术及礼仪用品制造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2431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雕塑工艺品制造</w:t>
            </w:r>
          </w:p>
        </w:tc>
        <w:tc>
          <w:tcPr>
            <w:tcW w:w="1975" w:type="dxa"/>
            <w:gridSpan w:val="2"/>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2432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金属工艺品制造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2433</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漆器工艺品制造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2434</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花画工艺品制造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2435</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天然植物纤维编织工艺品制造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2436</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抽纱刺绣工艺品制造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2437</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地毯、挂毯制造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2438</w:t>
            </w:r>
          </w:p>
        </w:tc>
        <w:tc>
          <w:tcPr>
            <w:tcW w:w="2567"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珠宝首饰及有关物品制造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2567"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18</w:t>
            </w:r>
          </w:p>
        </w:tc>
        <w:tc>
          <w:tcPr>
            <w:tcW w:w="537"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C25</w:t>
            </w:r>
          </w:p>
        </w:tc>
        <w:tc>
          <w:tcPr>
            <w:tcW w:w="1003"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石油、煤炭及其他燃料加工业</w:t>
            </w: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251</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精炼石油产品制造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2511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原油加工及石油制品制造</w:t>
            </w:r>
          </w:p>
        </w:tc>
        <w:tc>
          <w:tcPr>
            <w:tcW w:w="1975" w:type="dxa"/>
            <w:gridSpan w:val="2"/>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2519</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其他原油制造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252</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煤炭加工</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2521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炼焦</w:t>
            </w:r>
          </w:p>
        </w:tc>
        <w:tc>
          <w:tcPr>
            <w:tcW w:w="1975" w:type="dxa"/>
            <w:gridSpan w:val="2"/>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2522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煤制合成气生产</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2523</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煤制液体燃料生产</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2524</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煤制品制造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2529</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其他煤炭加工</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19</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C26</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化学原料和化学制品制造业</w:t>
            </w: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261</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基础化学原料制造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2611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无机酸制造</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2612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无机碱制造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2613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无机盐制造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2614</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有机化学原料制造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2619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其他基础化学原料制造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262</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肥料制造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2621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氮肥制造</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2622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磷肥制造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2624</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复混肥料制造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2629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其他肥料制造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263</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农药制造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2631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化学农药制造</w:t>
            </w:r>
          </w:p>
        </w:tc>
        <w:tc>
          <w:tcPr>
            <w:tcW w:w="1975" w:type="dxa"/>
            <w:gridSpan w:val="2"/>
            <w:vMerge w:val="restart"/>
            <w:shd w:val="clear" w:color="auto" w:fill="auto"/>
            <w:noWrap/>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2632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生物化学农药及微生物农药制造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264</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涂料、油墨、颜料及类似产品制造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2641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涂料制造</w:t>
            </w:r>
          </w:p>
        </w:tc>
        <w:tc>
          <w:tcPr>
            <w:tcW w:w="1975" w:type="dxa"/>
            <w:gridSpan w:val="2"/>
            <w:vMerge w:val="restart"/>
            <w:shd w:val="clear" w:color="auto" w:fill="auto"/>
            <w:noWrap/>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2642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油墨及类似产品制造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2643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工业颜料制造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2644</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工艺美术颜料制造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2645</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染料制造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2646</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密封用填料及类似品制造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265</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合成材料制造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2651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spacing w:val="-10"/>
                <w:kern w:val="0"/>
                <w:szCs w:val="21"/>
                <w14:textFill>
                  <w14:solidFill>
                    <w14:schemeClr w14:val="tx1"/>
                  </w14:solidFill>
                </w14:textFill>
              </w:rPr>
            </w:pPr>
            <w:r>
              <w:rPr>
                <w:rFonts w:hint="eastAsia" w:ascii="Times New Roman" w:hAnsi="Times New Roman" w:eastAsia="仿宋_GB2312" w:cs="宋体"/>
                <w:color w:val="000000" w:themeColor="text1"/>
                <w:spacing w:val="-10"/>
                <w:kern w:val="0"/>
                <w:szCs w:val="21"/>
                <w14:textFill>
                  <w14:solidFill>
                    <w14:schemeClr w14:val="tx1"/>
                  </w14:solidFill>
                </w14:textFill>
              </w:rPr>
              <w:t>初级形态塑料及合成树脂制造</w:t>
            </w:r>
          </w:p>
        </w:tc>
        <w:tc>
          <w:tcPr>
            <w:tcW w:w="1975" w:type="dxa"/>
            <w:gridSpan w:val="2"/>
            <w:vMerge w:val="restart"/>
            <w:shd w:val="clear" w:color="auto" w:fill="auto"/>
            <w:noWrap/>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2652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合成橡胶制造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2653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合成纤维单（聚合）体制造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2659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其他合成材料制造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266</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专用化学产品制造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2661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化学试剂和助剂制造</w:t>
            </w:r>
          </w:p>
        </w:tc>
        <w:tc>
          <w:tcPr>
            <w:tcW w:w="1975" w:type="dxa"/>
            <w:gridSpan w:val="2"/>
            <w:vMerge w:val="restart"/>
            <w:shd w:val="clear" w:color="auto" w:fill="auto"/>
            <w:noWrap/>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2662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专项化学用品制造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2663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林产化学产品制造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2664</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文化用信息化学品制造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2665</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医学生产用信息化学品制造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2666</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环境污染处理专用药剂材料制造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2667</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动物胶制造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2669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其他专用化学产品制造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267</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炸药、火工及焰火产品制造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2671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炸药及火工产品制造</w:t>
            </w:r>
          </w:p>
        </w:tc>
        <w:tc>
          <w:tcPr>
            <w:tcW w:w="1975" w:type="dxa"/>
            <w:gridSpan w:val="2"/>
            <w:vMerge w:val="restart"/>
            <w:shd w:val="clear" w:color="auto" w:fill="auto"/>
            <w:noWrap/>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2672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焰火、鞭炮产品制造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268</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日用化学产品制造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2681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肥皂及洗涤剂制造</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单纯混合或分装的除外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2682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化妆品制造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2683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口腔清洁用品制造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2684</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香料、香精制造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2689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其他日用化学产品制造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20</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C27</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医药制造业</w:t>
            </w: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271</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化学药品原料药制造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2710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化学药品原料药制造</w:t>
            </w:r>
          </w:p>
        </w:tc>
        <w:tc>
          <w:tcPr>
            <w:tcW w:w="1975" w:type="dxa"/>
            <w:gridSpan w:val="2"/>
            <w:vMerge w:val="restart"/>
            <w:shd w:val="clear" w:color="auto" w:fill="auto"/>
            <w:noWrap/>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单纯药品复配、分装和化学药品制剂制造的除外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272</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化学药品制剂制造</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2720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化学药品制剂制造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273</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中药饮片加工</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2730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中药饮片加工</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有提炼工艺的（仅醇提、水提的除外）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274</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中成药生产</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2740</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中成药生产</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276</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生物药品制品制造</w:t>
            </w:r>
          </w:p>
        </w:tc>
        <w:tc>
          <w:tcPr>
            <w:tcW w:w="56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2761</w:t>
            </w:r>
          </w:p>
        </w:tc>
        <w:tc>
          <w:tcPr>
            <w:tcW w:w="2567"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生物药品制造</w:t>
            </w:r>
          </w:p>
        </w:tc>
        <w:tc>
          <w:tcPr>
            <w:tcW w:w="1975" w:type="dxa"/>
            <w:gridSpan w:val="2"/>
            <w:vMerge w:val="restart"/>
            <w:shd w:val="clear" w:color="auto" w:fill="auto"/>
            <w:noWrap/>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2567"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2762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基因工程药物和疫苗制造</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21</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C28</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化学纤维制造业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纤维素纤维原料及纤维制造</w:t>
            </w:r>
          </w:p>
        </w:tc>
        <w:tc>
          <w:tcPr>
            <w:tcW w:w="56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2811</w:t>
            </w:r>
          </w:p>
        </w:tc>
        <w:tc>
          <w:tcPr>
            <w:tcW w:w="2567"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化纤浆粕制造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单纯纺丝、单纯丙纶纤维制造的除外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2567"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spacing w:val="-16"/>
                <w:kern w:val="0"/>
                <w:szCs w:val="21"/>
                <w14:textFill>
                  <w14:solidFill>
                    <w14:schemeClr w14:val="tx1"/>
                  </w14:solidFill>
                </w14:textFill>
              </w:rPr>
            </w:pPr>
            <w:r>
              <w:rPr>
                <w:rFonts w:hint="eastAsia" w:ascii="Times New Roman" w:hAnsi="Times New Roman" w:eastAsia="仿宋_GB2312" w:cs="宋体"/>
                <w:color w:val="000000" w:themeColor="text1"/>
                <w:spacing w:val="-16"/>
                <w:kern w:val="0"/>
                <w:szCs w:val="21"/>
                <w14:textFill>
                  <w14:solidFill>
                    <w14:schemeClr w14:val="tx1"/>
                  </w14:solidFill>
                </w14:textFill>
              </w:rPr>
              <w:t>人造纤维（纤维素纤维）制造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282</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合成纤维制造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2821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锦纶纤维制造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2822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涤纶纤维制造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2823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腈纶纤维制造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2824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维纶纤维制造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2825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丙纶纤维制造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2826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氨纶纤维制造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2829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其他合成纤维制造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283</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生物基材料制造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2831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生物基化学纤维制造</w:t>
            </w:r>
          </w:p>
        </w:tc>
        <w:tc>
          <w:tcPr>
            <w:tcW w:w="1975" w:type="dxa"/>
            <w:gridSpan w:val="2"/>
            <w:vMerge w:val="restart"/>
            <w:shd w:val="clear" w:color="auto" w:fill="auto"/>
            <w:noWrap/>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单纯纺丝的除外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2832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生物基、淀粉基新材料制造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22</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C29</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橡胶和塑料制品业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橡胶制品业</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2911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轮胎制造</w:t>
            </w:r>
          </w:p>
        </w:tc>
        <w:tc>
          <w:tcPr>
            <w:tcW w:w="1975" w:type="dxa"/>
            <w:gridSpan w:val="2"/>
            <w:vMerge w:val="restart"/>
            <w:shd w:val="clear" w:color="auto" w:fill="auto"/>
            <w:noWrap/>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橡胶板、管、带制造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2913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橡胶零件制造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2914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再生橡胶制造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2915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日用及医用橡胶制品制造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2916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运动场地用塑胶制造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2919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其他橡胶制品制造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塑料制品业</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塑料薄膜制造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以再生塑料为原料生产的；有电镀工艺的；年用溶剂型胶粘剂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塑料板、管、型材制造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塑料丝、绳及编织品制造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泡沫塑料制造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塑料人造革、合成革制造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塑料包装箱及容器制造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2927</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日用塑料制品制造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2928</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人造草坪制造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2929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spacing w:val="-16"/>
                <w:kern w:val="0"/>
                <w:szCs w:val="21"/>
                <w14:textFill>
                  <w14:solidFill>
                    <w14:schemeClr w14:val="tx1"/>
                  </w14:solidFill>
                </w14:textFill>
              </w:rPr>
            </w:pPr>
            <w:r>
              <w:rPr>
                <w:rFonts w:hint="eastAsia" w:ascii="Times New Roman" w:hAnsi="Times New Roman" w:eastAsia="仿宋_GB2312" w:cs="宋体"/>
                <w:color w:val="000000" w:themeColor="text1"/>
                <w:spacing w:val="-16"/>
                <w:kern w:val="0"/>
                <w:szCs w:val="21"/>
                <w14:textFill>
                  <w14:solidFill>
                    <w14:schemeClr w14:val="tx1"/>
                  </w14:solidFill>
                </w14:textFill>
              </w:rPr>
              <w:t>塑料零件及其他塑料制品制造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23</w:t>
            </w:r>
          </w:p>
        </w:tc>
        <w:tc>
          <w:tcPr>
            <w:tcW w:w="537"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C30</w:t>
            </w:r>
          </w:p>
        </w:tc>
        <w:tc>
          <w:tcPr>
            <w:tcW w:w="1003"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非金属矿物制品业</w:t>
            </w: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301</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水泥、石灰和石膏制造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3011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水泥制造</w:t>
            </w:r>
          </w:p>
        </w:tc>
        <w:tc>
          <w:tcPr>
            <w:tcW w:w="1975" w:type="dxa"/>
            <w:gridSpan w:val="2"/>
            <w:shd w:val="clear" w:color="auto" w:fill="auto"/>
            <w:noWrap/>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水泥粉磨站除外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303</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砖瓦、石材等建筑材料制造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3033</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防水建筑材料制造</w:t>
            </w:r>
          </w:p>
        </w:tc>
        <w:tc>
          <w:tcPr>
            <w:tcW w:w="1975" w:type="dxa"/>
            <w:gridSpan w:val="2"/>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304</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玻璃制造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3041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平板玻璃制造</w:t>
            </w:r>
          </w:p>
        </w:tc>
        <w:tc>
          <w:tcPr>
            <w:tcW w:w="1975" w:type="dxa"/>
            <w:gridSpan w:val="2"/>
            <w:vMerge w:val="restart"/>
            <w:shd w:val="clear" w:color="auto" w:fill="auto"/>
            <w:noWrap/>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3042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特种玻璃制造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306</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玻璃纤维和玻璃纤维增强塑料制品制造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3061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玻璃纤维及制品制造</w:t>
            </w:r>
          </w:p>
        </w:tc>
        <w:tc>
          <w:tcPr>
            <w:tcW w:w="1975" w:type="dxa"/>
            <w:gridSpan w:val="2"/>
            <w:vMerge w:val="restart"/>
            <w:shd w:val="clear" w:color="auto" w:fill="auto"/>
            <w:noWrap/>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3062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玻璃纤维增强塑料制品制造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307</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陶瓷制品制造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3071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建筑陶瓷制品制造</w:t>
            </w:r>
          </w:p>
        </w:tc>
        <w:tc>
          <w:tcPr>
            <w:tcW w:w="1975" w:type="dxa"/>
            <w:gridSpan w:val="2"/>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使用高污染燃料的（高污染燃料指国环规大气【</w:t>
            </w:r>
            <w:r>
              <w:rPr>
                <w:rFonts w:ascii="Times New Roman" w:hAnsi="Times New Roman" w:eastAsia="仿宋_GB2312"/>
                <w:color w:val="000000" w:themeColor="text1"/>
                <w:kern w:val="0"/>
                <w:szCs w:val="21"/>
                <w14:textFill>
                  <w14:solidFill>
                    <w14:schemeClr w14:val="tx1"/>
                  </w14:solidFill>
                </w14:textFill>
              </w:rPr>
              <w:t>2017</w:t>
            </w:r>
            <w:r>
              <w:rPr>
                <w:rFonts w:hint="eastAsia" w:ascii="Times New Roman" w:hAnsi="Times New Roman" w:eastAsia="仿宋_GB2312" w:cs="宋体"/>
                <w:color w:val="000000" w:themeColor="text1"/>
                <w:kern w:val="0"/>
                <w:szCs w:val="21"/>
                <w14:textFill>
                  <w14:solidFill>
                    <w14:schemeClr w14:val="tx1"/>
                  </w14:solidFill>
                </w14:textFill>
              </w:rPr>
              <w:t>】</w:t>
            </w:r>
            <w:r>
              <w:rPr>
                <w:rFonts w:ascii="Times New Roman" w:hAnsi="Times New Roman" w:eastAsia="仿宋_GB2312"/>
                <w:color w:val="000000" w:themeColor="text1"/>
                <w:kern w:val="0"/>
                <w:szCs w:val="21"/>
                <w14:textFill>
                  <w14:solidFill>
                    <w14:schemeClr w14:val="tx1"/>
                  </w14:solidFill>
                </w14:textFill>
              </w:rPr>
              <w:t>2</w:t>
            </w:r>
            <w:r>
              <w:rPr>
                <w:rFonts w:hint="eastAsia" w:ascii="Times New Roman" w:hAnsi="Times New Roman" w:eastAsia="仿宋_GB2312" w:cs="宋体"/>
                <w:color w:val="000000" w:themeColor="text1"/>
                <w:kern w:val="0"/>
                <w:szCs w:val="21"/>
                <w14:textFill>
                  <w14:solidFill>
                    <w14:schemeClr w14:val="tx1"/>
                  </w14:solidFill>
                </w14:textFill>
              </w:rPr>
              <w:t>号《高污染燃料目录》中规定的燃料）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3072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卫生陶瓷制品制造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3073</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特种陶瓷制品制造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3074</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日用陶瓷制品制造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3075</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陈设艺术陶瓷制造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3076</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园艺陶瓷制造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3079</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其他陶瓷制品制造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308</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耐火材料制品制造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3081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石棉制品制造</w:t>
            </w:r>
          </w:p>
        </w:tc>
        <w:tc>
          <w:tcPr>
            <w:tcW w:w="1975" w:type="dxa"/>
            <w:gridSpan w:val="2"/>
            <w:shd w:val="clear" w:color="auto" w:fill="auto"/>
            <w:noWrap/>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309</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石墨及其他非金属矿物制品制造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3091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石墨及碳素制品制造</w:t>
            </w:r>
          </w:p>
        </w:tc>
        <w:tc>
          <w:tcPr>
            <w:tcW w:w="1975" w:type="dxa"/>
            <w:gridSpan w:val="2"/>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有焙烧工艺的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24</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C31</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黑色金属冶炼和压延加工业</w:t>
            </w: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311</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炼铁</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3110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炼铁</w:t>
            </w:r>
          </w:p>
        </w:tc>
        <w:tc>
          <w:tcPr>
            <w:tcW w:w="1975" w:type="dxa"/>
            <w:gridSpan w:val="2"/>
            <w:shd w:val="clear" w:color="auto" w:fill="auto"/>
            <w:noWrap/>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312</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炼钢</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3120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炼钢</w:t>
            </w:r>
          </w:p>
        </w:tc>
        <w:tc>
          <w:tcPr>
            <w:tcW w:w="1975" w:type="dxa"/>
            <w:gridSpan w:val="2"/>
            <w:shd w:val="clear" w:color="auto" w:fill="auto"/>
            <w:noWrap/>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313</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钢压延加工</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3130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钢压延加工</w:t>
            </w:r>
          </w:p>
        </w:tc>
        <w:tc>
          <w:tcPr>
            <w:tcW w:w="1975" w:type="dxa"/>
            <w:gridSpan w:val="2"/>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年产</w:t>
            </w:r>
            <w:r>
              <w:rPr>
                <w:rFonts w:ascii="Times New Roman" w:hAnsi="Times New Roman" w:eastAsia="仿宋_GB2312"/>
                <w:color w:val="000000" w:themeColor="text1"/>
                <w:kern w:val="0"/>
                <w:szCs w:val="21"/>
                <w14:textFill>
                  <w14:solidFill>
                    <w14:schemeClr w14:val="tx1"/>
                  </w14:solidFill>
                </w14:textFill>
              </w:rPr>
              <w:t>50</w:t>
            </w:r>
            <w:r>
              <w:rPr>
                <w:rFonts w:hint="eastAsia" w:ascii="Times New Roman" w:hAnsi="Times New Roman" w:eastAsia="仿宋_GB2312" w:cs="宋体"/>
                <w:color w:val="000000" w:themeColor="text1"/>
                <w:kern w:val="0"/>
                <w:szCs w:val="21"/>
                <w14:textFill>
                  <w14:solidFill>
                    <w14:schemeClr w14:val="tx1"/>
                  </w14:solidFill>
                </w14:textFill>
              </w:rPr>
              <w:t>万吨及以上的冷轧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314</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铁合金冶炼</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3140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铁合金冶炼</w:t>
            </w:r>
          </w:p>
        </w:tc>
        <w:tc>
          <w:tcPr>
            <w:tcW w:w="1975" w:type="dxa"/>
            <w:gridSpan w:val="2"/>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25</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C32</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有色金属冶炼和压延加工业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常用有色金属冶炼</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铜冶炼</w:t>
            </w:r>
          </w:p>
        </w:tc>
        <w:tc>
          <w:tcPr>
            <w:tcW w:w="1975" w:type="dxa"/>
            <w:gridSpan w:val="2"/>
            <w:vMerge w:val="restart"/>
            <w:shd w:val="clear" w:color="auto" w:fill="auto"/>
            <w:noWrap/>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利用单质金属混配重熔生产合金的除外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铅锌冶炼</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镍钴冶炼</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锡冶炼</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锑冶炼</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铝冶炼</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3217</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镁冶炼</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3218</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硅冶炼</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3219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其他常用有色金属冶炼</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2</w:t>
            </w:r>
            <w:r>
              <w:rPr>
                <w:rFonts w:ascii="Times New Roman" w:hAnsi="Times New Roman" w:eastAsia="等线"/>
                <w:color w:val="000000" w:themeColor="text1"/>
                <w:kern w:val="0"/>
                <w:szCs w:val="21"/>
                <w14:textFill>
                  <w14:solidFill>
                    <w14:schemeClr w14:val="tx1"/>
                  </w14:solidFill>
                </w14:textFill>
              </w:rPr>
              <w:t>5</w:t>
            </w:r>
          </w:p>
        </w:tc>
        <w:tc>
          <w:tcPr>
            <w:tcW w:w="537"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C32</w:t>
            </w:r>
          </w:p>
        </w:tc>
        <w:tc>
          <w:tcPr>
            <w:tcW w:w="1003" w:type="dxa"/>
            <w:vMerge w:val="restart"/>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有色金属冶炼和压延加工业</w:t>
            </w: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322</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贵金属冶炼</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3221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金冶炼</w:t>
            </w:r>
          </w:p>
        </w:tc>
        <w:tc>
          <w:tcPr>
            <w:tcW w:w="1975" w:type="dxa"/>
            <w:gridSpan w:val="2"/>
            <w:vMerge w:val="restart"/>
            <w:shd w:val="clear" w:color="auto" w:fill="auto"/>
            <w:noWrap/>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利用单质金属混配重熔生产合金的除外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3222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银冶炼</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3229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其他贵金属冶炼</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323</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稀有稀土金属冶炼</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3231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钨钼冶炼</w:t>
            </w:r>
          </w:p>
        </w:tc>
        <w:tc>
          <w:tcPr>
            <w:tcW w:w="1975" w:type="dxa"/>
            <w:gridSpan w:val="2"/>
            <w:vMerge w:val="restart"/>
            <w:shd w:val="clear" w:color="auto" w:fill="auto"/>
            <w:noWrap/>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利用单质金属混配重熔生产合金的除外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3232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稀土金属冶炼</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3239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其他稀有金属冶炼</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324</w:t>
            </w:r>
          </w:p>
        </w:tc>
        <w:tc>
          <w:tcPr>
            <w:tcW w:w="1130"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有色金属合金制造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3240</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有色金属合金制造</w:t>
            </w:r>
          </w:p>
        </w:tc>
        <w:tc>
          <w:tcPr>
            <w:tcW w:w="1975" w:type="dxa"/>
            <w:gridSpan w:val="2"/>
            <w:shd w:val="clear" w:color="auto" w:fill="auto"/>
            <w:noWrap/>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利用单质金属混配重熔生产合金的除外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w:t>
            </w:r>
          </w:p>
        </w:tc>
        <w:tc>
          <w:tcPr>
            <w:tcW w:w="537"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C33</w:t>
            </w:r>
          </w:p>
        </w:tc>
        <w:tc>
          <w:tcPr>
            <w:tcW w:w="1003"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金属制品业</w:t>
            </w: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331</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结构性金属制品制造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3311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金属结构制造</w:t>
            </w:r>
          </w:p>
        </w:tc>
        <w:tc>
          <w:tcPr>
            <w:tcW w:w="1975" w:type="dxa"/>
            <w:gridSpan w:val="2"/>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3312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金属门窗制造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332</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金属工具制造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3321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切削工具制造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3322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手工具制造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3323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农用及园林用金属工具制造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3324</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刀剪及类似日用金属工具制造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3329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其他金属工具制造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333</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集装箱及金属包装容器制造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3331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集装箱制造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3332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金属压力容器制造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3333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金属包装容器及材料制造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334</w:t>
            </w:r>
          </w:p>
        </w:tc>
        <w:tc>
          <w:tcPr>
            <w:tcW w:w="1130"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金属丝绳及其制品制造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3340</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金属丝绳及其制品制造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335</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建筑、安全用金属制品制造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3351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建筑、家具用金属配件制造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3352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建筑装饰及水暖管道零件制造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3353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安全、消防用金属制品制造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3359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其他建筑、安全用金属制品制造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336</w:t>
            </w:r>
          </w:p>
        </w:tc>
        <w:tc>
          <w:tcPr>
            <w:tcW w:w="1130"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金属表面处理及热处理加工</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3360</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金属表面处理及热处理加工</w:t>
            </w:r>
          </w:p>
        </w:tc>
        <w:tc>
          <w:tcPr>
            <w:tcW w:w="1975" w:type="dxa"/>
            <w:gridSpan w:val="2"/>
            <w:shd w:val="clear" w:color="auto" w:fill="auto"/>
            <w:noWrap/>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有电镀工艺的；有钝化工艺的热镀锌；使用有机涂层的（喷粉、喷塑、浸塑和电泳除外；年用溶剂型涂料（含稀释剂）10吨以下和用非溶剂型低VOCs含量涂料的除外）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26</w:t>
            </w:r>
          </w:p>
        </w:tc>
        <w:tc>
          <w:tcPr>
            <w:tcW w:w="537"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C33</w:t>
            </w:r>
          </w:p>
        </w:tc>
        <w:tc>
          <w:tcPr>
            <w:tcW w:w="1003"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金属制品业</w:t>
            </w: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338</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金属制日用品制造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3381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金属制厨房用器具制造</w:t>
            </w:r>
          </w:p>
        </w:tc>
        <w:tc>
          <w:tcPr>
            <w:tcW w:w="1975" w:type="dxa"/>
            <w:gridSpan w:val="2"/>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有电镀工艺的；年用溶剂型涂料（含稀释剂）10吨及以上的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3382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金属制餐具和器皿制造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3383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金属制卫生器具制造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3389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其他金属制日用品制造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339</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铸造及其他金属制品制造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3393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锻件及粉末冶金制品制造</w:t>
            </w:r>
          </w:p>
        </w:tc>
        <w:tc>
          <w:tcPr>
            <w:tcW w:w="1975" w:type="dxa"/>
            <w:gridSpan w:val="2"/>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黑色金属铸造年产</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万吨及以上；有色金属铸造年产</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万吨及以上的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3394</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交通及公共管理用金属标牌制造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3399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其他未列明金属制品制造</w:t>
            </w:r>
          </w:p>
        </w:tc>
        <w:tc>
          <w:tcPr>
            <w:tcW w:w="1975" w:type="dxa"/>
            <w:gridSpan w:val="2"/>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w:t>
            </w:r>
          </w:p>
        </w:tc>
        <w:tc>
          <w:tcPr>
            <w:tcW w:w="537"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C34</w:t>
            </w:r>
          </w:p>
        </w:tc>
        <w:tc>
          <w:tcPr>
            <w:tcW w:w="1003"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通用设备制造业</w:t>
            </w: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341</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锅炉及原动设备制造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3411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锅炉及辅助设备制造</w:t>
            </w:r>
          </w:p>
        </w:tc>
        <w:tc>
          <w:tcPr>
            <w:tcW w:w="1975" w:type="dxa"/>
            <w:gridSpan w:val="2"/>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3412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内燃机及配件制造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3413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汽轮机及辅机制造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3414</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水轮机及辅机制造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3415</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风能原动设备制造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3419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其他原动设备制造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342</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金属加工机械制造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3421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金属切削机床制造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3422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金属成形机床制造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3423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铸造机械制造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3424</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金属切割及焊接设备制造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3425</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机床功能部件及附件制造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3429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其他金属加工机械制造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343</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物料搬运设备制造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3431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轻小型起重设备制造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3432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生产专用起重机制造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3433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生产专用车辆制造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3434</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连续搬运设备制造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3435</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电梯、自动扶梯及升降机制造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3436</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客运索道制造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3437</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机械式停车设备制造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3439</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其他物料搬运设备制造</w:t>
            </w:r>
          </w:p>
        </w:tc>
        <w:tc>
          <w:tcPr>
            <w:tcW w:w="1975" w:type="dxa"/>
            <w:gridSpan w:val="2"/>
            <w:vMerge w:val="continue"/>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344</w:t>
            </w:r>
          </w:p>
        </w:tc>
        <w:tc>
          <w:tcPr>
            <w:tcW w:w="1130" w:type="dxa"/>
            <w:vMerge w:val="restart"/>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泵、阀门、压缩机及类似机械制造</w:t>
            </w: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3441</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泵及真空设备制造</w:t>
            </w:r>
          </w:p>
        </w:tc>
        <w:tc>
          <w:tcPr>
            <w:tcW w:w="1975" w:type="dxa"/>
            <w:gridSpan w:val="2"/>
            <w:vMerge w:val="continue"/>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3442</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气体压缩机械制造</w:t>
            </w:r>
          </w:p>
        </w:tc>
        <w:tc>
          <w:tcPr>
            <w:tcW w:w="1975" w:type="dxa"/>
            <w:gridSpan w:val="2"/>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3443</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阀门和旋塞制造</w:t>
            </w:r>
          </w:p>
        </w:tc>
        <w:tc>
          <w:tcPr>
            <w:tcW w:w="1975" w:type="dxa"/>
            <w:gridSpan w:val="2"/>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3444</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液压动力机械及元件制造</w:t>
            </w:r>
          </w:p>
        </w:tc>
        <w:tc>
          <w:tcPr>
            <w:tcW w:w="1975" w:type="dxa"/>
            <w:gridSpan w:val="2"/>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3445</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液力动力机械及元件制造</w:t>
            </w:r>
          </w:p>
        </w:tc>
        <w:tc>
          <w:tcPr>
            <w:tcW w:w="1975" w:type="dxa"/>
            <w:gridSpan w:val="2"/>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2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2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3446</w:t>
            </w:r>
          </w:p>
        </w:tc>
        <w:tc>
          <w:tcPr>
            <w:tcW w:w="2567" w:type="dxa"/>
            <w:shd w:val="clear" w:color="auto" w:fill="auto"/>
            <w:vAlign w:val="center"/>
          </w:tcPr>
          <w:p>
            <w:pPr>
              <w:overflowPunct w:val="0"/>
              <w:topLinePunct/>
              <w:spacing w:line="32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气压动力机械及元件制造</w:t>
            </w:r>
          </w:p>
        </w:tc>
        <w:tc>
          <w:tcPr>
            <w:tcW w:w="1975" w:type="dxa"/>
            <w:gridSpan w:val="2"/>
            <w:vMerge w:val="continue"/>
            <w:shd w:val="clear" w:color="auto" w:fill="auto"/>
            <w:vAlign w:val="center"/>
          </w:tcPr>
          <w:p>
            <w:pPr>
              <w:overflowPunct w:val="0"/>
              <w:topLinePunct/>
              <w:spacing w:line="32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27</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C34</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通用设备制造业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345</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轴承、齿轮和传动部件制造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3451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滚动轴承制造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3452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滑动轴承制造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3453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齿轮及齿轮减、变速箱制造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3459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其他传动部件制造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346</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烘炉、风机、包装等设备制造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3461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烘炉、熔炉及电炉制造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3462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风机、风扇制造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3463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气体、液体分离及纯净设备制造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3464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制冷、空调设备制造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3465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风动和电动工具制造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3466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喷枪及类似器具制造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3467</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包装专用设备制造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347</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文化、办公用机械制造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3471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电影机械制造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3472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幻灯及投影设备制造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3473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照相机及器材制造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3474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复印和胶印设备制造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3475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计算器及货币专用设备制造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3479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其他文化、办公用机械制造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348</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通用零部件制造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3481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金属密封件制造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3482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紧固件制造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3483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弹簧制造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3484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机械零部件加工</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3489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其他通用零部件制造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980" w:hRule="atLeast"/>
          <w:jc w:val="center"/>
        </w:trPr>
        <w:tc>
          <w:tcPr>
            <w:tcW w:w="562" w:type="dxa"/>
            <w:vMerge w:val="continue"/>
            <w:tcBorders>
              <w:bottom w:val="single" w:color="auto" w:sz="4" w:space="0"/>
            </w:tcBorders>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tcBorders>
              <w:bottom w:val="single" w:color="auto" w:sz="4" w:space="0"/>
            </w:tcBorders>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349</w:t>
            </w:r>
          </w:p>
        </w:tc>
        <w:tc>
          <w:tcPr>
            <w:tcW w:w="1130" w:type="dxa"/>
            <w:vMerge w:val="restart"/>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其他通用设备制造业</w:t>
            </w:r>
          </w:p>
        </w:tc>
        <w:tc>
          <w:tcPr>
            <w:tcW w:w="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3491</w:t>
            </w:r>
          </w:p>
        </w:tc>
        <w:tc>
          <w:tcPr>
            <w:tcW w:w="2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工业机器人制造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3492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特殊作业机器人制造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3493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增材制造装备制造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650" w:hRule="atLeast"/>
          <w:jc w:val="center"/>
        </w:trPr>
        <w:tc>
          <w:tcPr>
            <w:tcW w:w="562" w:type="dxa"/>
            <w:vMerge w:val="continue"/>
            <w:tcBorders>
              <w:bottom w:val="single" w:color="auto" w:sz="4" w:space="0"/>
            </w:tcBorders>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tcBorders>
              <w:bottom w:val="single" w:color="auto" w:sz="4" w:space="0"/>
            </w:tcBorders>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tcBorders>
              <w:bottom w:val="single" w:color="auto" w:sz="4" w:space="0"/>
            </w:tcBorders>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tcBorders>
              <w:bottom w:val="single" w:color="auto" w:sz="4" w:space="0"/>
            </w:tcBorders>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tcBorders>
              <w:bottom w:val="single" w:color="auto" w:sz="4" w:space="0"/>
            </w:tcBorders>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3499</w:t>
            </w:r>
          </w:p>
        </w:tc>
        <w:tc>
          <w:tcPr>
            <w:tcW w:w="2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其他未列明通用设备制造业</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C35</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专用设备制造业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采矿、冶金、建筑专用设备制造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3511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矿山机械制造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石油钻采专用设备制造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3513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深海石油钻探设备制造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3514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建筑工程用机械制造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3515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建筑材料生产专用机械制造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3516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冶金专用设备制造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3517</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隧道施工专用机械制造</w:t>
            </w:r>
          </w:p>
        </w:tc>
        <w:tc>
          <w:tcPr>
            <w:tcW w:w="1975" w:type="dxa"/>
            <w:gridSpan w:val="2"/>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28</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C35</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专用设备制造业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352</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化工、木材、非金属加工专用设备制造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3521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spacing w:val="-10"/>
                <w:kern w:val="0"/>
                <w:szCs w:val="21"/>
                <w14:textFill>
                  <w14:solidFill>
                    <w14:schemeClr w14:val="tx1"/>
                  </w14:solidFill>
                </w14:textFill>
              </w:rPr>
            </w:pPr>
            <w:r>
              <w:rPr>
                <w:rFonts w:hint="eastAsia" w:ascii="Times New Roman" w:hAnsi="Times New Roman" w:eastAsia="仿宋_GB2312" w:cs="宋体"/>
                <w:color w:val="000000" w:themeColor="text1"/>
                <w:spacing w:val="-10"/>
                <w:kern w:val="0"/>
                <w:szCs w:val="21"/>
                <w14:textFill>
                  <w14:solidFill>
                    <w14:schemeClr w14:val="tx1"/>
                  </w14:solidFill>
                </w14:textFill>
              </w:rPr>
              <w:t>炼油、化工生产专用设备制造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3522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橡胶加工专用设备制造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3523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塑料加工专用设备制造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3524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木竹材加工机械制造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3525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模具制造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3529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spacing w:val="-10"/>
                <w:kern w:val="0"/>
                <w:szCs w:val="21"/>
                <w14:textFill>
                  <w14:solidFill>
                    <w14:schemeClr w14:val="tx1"/>
                  </w14:solidFill>
                </w14:textFill>
              </w:rPr>
            </w:pPr>
            <w:r>
              <w:rPr>
                <w:rFonts w:hint="eastAsia" w:ascii="Times New Roman" w:hAnsi="Times New Roman" w:eastAsia="仿宋_GB2312" w:cs="宋体"/>
                <w:color w:val="000000" w:themeColor="text1"/>
                <w:spacing w:val="-10"/>
                <w:kern w:val="0"/>
                <w:szCs w:val="21"/>
                <w14:textFill>
                  <w14:solidFill>
                    <w14:schemeClr w14:val="tx1"/>
                  </w14:solidFill>
                </w14:textFill>
              </w:rPr>
              <w:t>其他非金属加工专用设备制造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353</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食品、饮料、烟草及饲料生产专用设备制造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3531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食品、酒、饮料及茶生产专用设备制造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3532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农副食品加工专用设备制造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3533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烟草生产专用设备制造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3534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饲料生产专用设备制造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354</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印刷、制药、日化及日用品生产专用设备制造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3541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制浆和造纸专用设备制造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3542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印刷专用设备制造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3543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日用化工专用设备制造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3544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制药专用设备制造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3545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照明器具生产专用设备制造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3546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玻璃、陶瓷和搪瓷制品生产专用设备制造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3549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spacing w:val="-10"/>
                <w:kern w:val="0"/>
                <w:szCs w:val="21"/>
                <w14:textFill>
                  <w14:solidFill>
                    <w14:schemeClr w14:val="tx1"/>
                  </w14:solidFill>
                </w14:textFill>
              </w:rPr>
            </w:pPr>
            <w:r>
              <w:rPr>
                <w:rFonts w:hint="eastAsia" w:ascii="Times New Roman" w:hAnsi="Times New Roman" w:eastAsia="仿宋_GB2312" w:cs="宋体"/>
                <w:color w:val="000000" w:themeColor="text1"/>
                <w:spacing w:val="-10"/>
                <w:kern w:val="0"/>
                <w:szCs w:val="21"/>
                <w14:textFill>
                  <w14:solidFill>
                    <w14:schemeClr w14:val="tx1"/>
                  </w14:solidFill>
                </w14:textFill>
              </w:rPr>
              <w:t>其他日用品生产专用设备制造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355</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纺织、服装和皮革加工专用设备制造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3551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纺织专用设备制造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3552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皮革、毛皮及其制品加工专用设备制造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3553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缝制机械制造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3554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洗涤机械制造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356</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电子和电工机械专用设备制造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3561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电工机械专用设备制造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3562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半导体器件专用设备制造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3563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电子元器件与机电组件设备制造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3569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其他电子专用设备制造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357</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农、林、牧、渔专用机械制造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3571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拖拉机制造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3572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机械化农业及园艺机具制造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3573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营林及木竹采伐机械制造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3574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畜牧机械制造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3575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渔业机械制造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3576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农林牧渔机械配件制造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3577</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棉花加工机械制造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3579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其他农、林、牧、渔业机械制造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2</w:t>
            </w:r>
            <w:r>
              <w:rPr>
                <w:rFonts w:ascii="Times New Roman" w:hAnsi="Times New Roman" w:eastAsia="等线"/>
                <w:color w:val="000000" w:themeColor="text1"/>
                <w:kern w:val="0"/>
                <w:szCs w:val="21"/>
                <w14:textFill>
                  <w14:solidFill>
                    <w14:schemeClr w14:val="tx1"/>
                  </w14:solidFill>
                </w14:textFill>
              </w:rPr>
              <w:t>8</w:t>
            </w:r>
          </w:p>
        </w:tc>
        <w:tc>
          <w:tcPr>
            <w:tcW w:w="537"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C35</w:t>
            </w:r>
          </w:p>
        </w:tc>
        <w:tc>
          <w:tcPr>
            <w:tcW w:w="1003"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专用设备制造业</w:t>
            </w: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358</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医疗仪器设备及器械制造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3581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医疗诊断、监护及治疗设备制造</w:t>
            </w:r>
          </w:p>
        </w:tc>
        <w:tc>
          <w:tcPr>
            <w:tcW w:w="1975" w:type="dxa"/>
            <w:gridSpan w:val="2"/>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3582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口腔科用设备及器具制造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3583</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医疗实验室及医用消毒设备和器具制造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3584</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医疗、外科及兽医用器械制造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3585</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机械治疗及病房护理设备制造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3586</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康复辅具制造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3587</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眼镜制造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3589</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其他医疗设备及器械制造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359</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环保、邮政、社会公共服务及其他专用设备制造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3591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环境保护专用设备制造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3592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地质勘查专用设备制造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3593</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邮政专用机械及器材制造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3594</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商业、饮食、服务专用设备制造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3595</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社会公共安全设备及器材制造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3596</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交通安全、管制及类似专用设备制</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3597</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水资源专用机械制造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650" w:hRule="atLeast"/>
          <w:jc w:val="center"/>
        </w:trPr>
        <w:tc>
          <w:tcPr>
            <w:tcW w:w="562" w:type="dxa"/>
            <w:vMerge w:val="continue"/>
            <w:tcBorders>
              <w:bottom w:val="single" w:color="auto" w:sz="4" w:space="0"/>
            </w:tcBorders>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tcBorders>
              <w:bottom w:val="single" w:color="auto" w:sz="4" w:space="0"/>
            </w:tcBorders>
            <w:shd w:val="clear" w:color="auto" w:fill="auto"/>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tcBorders>
              <w:bottom w:val="single" w:color="auto" w:sz="4" w:space="0"/>
            </w:tcBorders>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tcBorders>
              <w:bottom w:val="single" w:color="auto" w:sz="4" w:space="0"/>
            </w:tcBorders>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tcBorders>
              <w:bottom w:val="single" w:color="auto" w:sz="4" w:space="0"/>
            </w:tcBorders>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tcBorders>
              <w:bottom w:val="single" w:color="auto" w:sz="4" w:space="0"/>
            </w:tcBorders>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3599</w:t>
            </w:r>
          </w:p>
        </w:tc>
        <w:tc>
          <w:tcPr>
            <w:tcW w:w="2567" w:type="dxa"/>
            <w:tcBorders>
              <w:bottom w:val="single" w:color="auto" w:sz="4" w:space="0"/>
            </w:tcBorders>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其他专用设备制造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29</w:t>
            </w:r>
          </w:p>
        </w:tc>
        <w:tc>
          <w:tcPr>
            <w:tcW w:w="537"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C36</w:t>
            </w:r>
          </w:p>
        </w:tc>
        <w:tc>
          <w:tcPr>
            <w:tcW w:w="1003"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汽车制造业</w:t>
            </w:r>
          </w:p>
        </w:tc>
        <w:tc>
          <w:tcPr>
            <w:tcW w:w="564" w:type="dxa"/>
            <w:vMerge w:val="restart"/>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361</w:t>
            </w:r>
          </w:p>
        </w:tc>
        <w:tc>
          <w:tcPr>
            <w:tcW w:w="1130" w:type="dxa"/>
            <w:vMerge w:val="restart"/>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汽车整车制造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3611</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汽柴油车整车制造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3612</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新能源车整车制造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362</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汽车用发动机制造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3620</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汽车用发动机制造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363</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改装汽车制造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3630</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改装汽车制造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364</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低速汽车制造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3640</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低速汽车制造</w:t>
            </w:r>
          </w:p>
        </w:tc>
        <w:tc>
          <w:tcPr>
            <w:tcW w:w="1975" w:type="dxa"/>
            <w:gridSpan w:val="2"/>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365</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电车制造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3650</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电车制造</w:t>
            </w:r>
          </w:p>
        </w:tc>
        <w:tc>
          <w:tcPr>
            <w:tcW w:w="1975" w:type="dxa"/>
            <w:gridSpan w:val="2"/>
            <w:vMerge w:val="continue"/>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366</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汽车车身、挂车制造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3660</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汽车车身、挂车制造</w:t>
            </w:r>
          </w:p>
        </w:tc>
        <w:tc>
          <w:tcPr>
            <w:tcW w:w="1975" w:type="dxa"/>
            <w:gridSpan w:val="2"/>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1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367</w:t>
            </w:r>
          </w:p>
        </w:tc>
        <w:tc>
          <w:tcPr>
            <w:tcW w:w="1130"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汽车零部件及配件制造</w:t>
            </w:r>
          </w:p>
        </w:tc>
        <w:tc>
          <w:tcPr>
            <w:tcW w:w="567" w:type="dxa"/>
            <w:shd w:val="clear" w:color="auto" w:fill="auto"/>
            <w:vAlign w:val="center"/>
          </w:tcPr>
          <w:p>
            <w:pPr>
              <w:overflowPunct w:val="0"/>
              <w:topLinePunct/>
              <w:spacing w:line="31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3670</w:t>
            </w:r>
          </w:p>
        </w:tc>
        <w:tc>
          <w:tcPr>
            <w:tcW w:w="2567" w:type="dxa"/>
            <w:shd w:val="clear" w:color="auto" w:fill="auto"/>
            <w:vAlign w:val="center"/>
          </w:tcPr>
          <w:p>
            <w:pPr>
              <w:overflowPunct w:val="0"/>
              <w:topLinePunct/>
              <w:spacing w:line="31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汽车零部件及配件制造</w:t>
            </w:r>
          </w:p>
        </w:tc>
        <w:tc>
          <w:tcPr>
            <w:tcW w:w="1975" w:type="dxa"/>
            <w:gridSpan w:val="2"/>
            <w:vMerge w:val="continue"/>
            <w:shd w:val="clear" w:color="auto" w:fill="auto"/>
            <w:vAlign w:val="center"/>
          </w:tcPr>
          <w:p>
            <w:pPr>
              <w:overflowPunct w:val="0"/>
              <w:topLinePunct/>
              <w:spacing w:line="31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30</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C37</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铁路、船舶、航空航天和其他运输设备制造业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铁路运输设备制造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3711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高铁车组制造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铁路机车车辆制造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3713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窄轨机车车辆制造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3714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高铁设备、配件制造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3715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铁路机车车辆配件制造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3716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铁路专用设备及器材、配件制造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3719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其他铁路运输设备制造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372</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城市轨道交通设备制造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3720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城市轨道交通设备制造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650" w:hRule="atLeast"/>
          <w:jc w:val="center"/>
        </w:trPr>
        <w:tc>
          <w:tcPr>
            <w:tcW w:w="562" w:type="dxa"/>
            <w:vMerge w:val="continue"/>
            <w:tcBorders>
              <w:bottom w:val="single" w:color="auto" w:sz="4" w:space="0"/>
            </w:tcBorders>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tcBorders>
              <w:bottom w:val="single" w:color="auto" w:sz="4" w:space="0"/>
            </w:tcBorders>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tcBorders>
              <w:bottom w:val="single" w:color="auto" w:sz="4" w:space="0"/>
            </w:tcBorders>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373</w:t>
            </w:r>
          </w:p>
        </w:tc>
        <w:tc>
          <w:tcPr>
            <w:tcW w:w="1130" w:type="dxa"/>
            <w:vMerge w:val="restart"/>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船舶及相关装置制造</w:t>
            </w:r>
          </w:p>
        </w:tc>
        <w:tc>
          <w:tcPr>
            <w:tcW w:w="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3731</w:t>
            </w:r>
          </w:p>
        </w:tc>
        <w:tc>
          <w:tcPr>
            <w:tcW w:w="2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金属船舶制造</w:t>
            </w:r>
          </w:p>
        </w:tc>
        <w:tc>
          <w:tcPr>
            <w:tcW w:w="1975" w:type="dxa"/>
            <w:gridSpan w:val="2"/>
            <w:vMerge w:val="continue"/>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3732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非金属船舶制造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3733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娱乐船和运动船制造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3734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船用配套设备制造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3735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船舶改装</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3736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船舶拆除</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3737</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海洋工程装备制造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3739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spacing w:val="-10"/>
                <w:kern w:val="0"/>
                <w:szCs w:val="21"/>
                <w14:textFill>
                  <w14:solidFill>
                    <w14:schemeClr w14:val="tx1"/>
                  </w14:solidFill>
                </w14:textFill>
              </w:rPr>
            </w:pPr>
            <w:r>
              <w:rPr>
                <w:rFonts w:hint="eastAsia" w:ascii="Times New Roman" w:hAnsi="Times New Roman" w:eastAsia="仿宋_GB2312" w:cs="宋体"/>
                <w:color w:val="000000" w:themeColor="text1"/>
                <w:spacing w:val="-10"/>
                <w:kern w:val="0"/>
                <w:szCs w:val="21"/>
                <w14:textFill>
                  <w14:solidFill>
                    <w14:schemeClr w14:val="tx1"/>
                  </w14:solidFill>
                </w14:textFill>
              </w:rPr>
              <w:t>航标器材及其他相关装置制造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650" w:hRule="atLeast"/>
          <w:jc w:val="center"/>
        </w:trPr>
        <w:tc>
          <w:tcPr>
            <w:tcW w:w="562" w:type="dxa"/>
            <w:vMerge w:val="continue"/>
            <w:tcBorders>
              <w:bottom w:val="single" w:color="auto" w:sz="4" w:space="0"/>
            </w:tcBorders>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tcBorders>
              <w:bottom w:val="single" w:color="auto" w:sz="4" w:space="0"/>
            </w:tcBorders>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tcBorders>
              <w:bottom w:val="single" w:color="auto" w:sz="4" w:space="0"/>
            </w:tcBorders>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374</w:t>
            </w:r>
          </w:p>
        </w:tc>
        <w:tc>
          <w:tcPr>
            <w:tcW w:w="1130" w:type="dxa"/>
            <w:vMerge w:val="restart"/>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航空、航天器及设备制造</w:t>
            </w:r>
          </w:p>
        </w:tc>
        <w:tc>
          <w:tcPr>
            <w:tcW w:w="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3741</w:t>
            </w:r>
          </w:p>
        </w:tc>
        <w:tc>
          <w:tcPr>
            <w:tcW w:w="2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飞机制造</w:t>
            </w:r>
          </w:p>
        </w:tc>
        <w:tc>
          <w:tcPr>
            <w:tcW w:w="1975" w:type="dxa"/>
            <w:gridSpan w:val="2"/>
            <w:vMerge w:val="continue"/>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3742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航天器及运载火箭制造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3743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航天相关设备制造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3744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航空相关设备制造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3749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其他航空航天器制造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375</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摩托车制造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3751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摩托车整车制造</w:t>
            </w:r>
          </w:p>
        </w:tc>
        <w:tc>
          <w:tcPr>
            <w:tcW w:w="1975" w:type="dxa"/>
            <w:gridSpan w:val="2"/>
            <w:vMerge w:val="continue"/>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3752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摩托车零部件及配件制造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376</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自行车和残疾人座车制造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3761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自行车制造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377</w:t>
            </w:r>
          </w:p>
        </w:tc>
        <w:tc>
          <w:tcPr>
            <w:tcW w:w="1130" w:type="dxa"/>
            <w:shd w:val="clear" w:color="auto" w:fill="auto"/>
            <w:vAlign w:val="center"/>
          </w:tcPr>
          <w:p>
            <w:pPr>
              <w:overflowPunct w:val="0"/>
              <w:topLinePunct/>
              <w:spacing w:line="300" w:lineRule="exact"/>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助动车制造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3770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助动车制造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378</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非公路休闲车及零配件制造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3780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非公路休闲车及零配件制造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1200" w:hRule="atLeast"/>
          <w:jc w:val="center"/>
        </w:trPr>
        <w:tc>
          <w:tcPr>
            <w:tcW w:w="562" w:type="dxa"/>
            <w:vMerge w:val="continue"/>
            <w:tcBorders>
              <w:bottom w:val="single" w:color="auto" w:sz="4" w:space="0"/>
            </w:tcBorders>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tcBorders>
              <w:bottom w:val="single" w:color="auto" w:sz="4" w:space="0"/>
            </w:tcBorders>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tcBorders>
              <w:bottom w:val="single" w:color="auto" w:sz="4" w:space="0"/>
            </w:tcBorders>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379</w:t>
            </w:r>
          </w:p>
        </w:tc>
        <w:tc>
          <w:tcPr>
            <w:tcW w:w="1130"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潜水救捞及其他未列明运输设备制造</w:t>
            </w:r>
          </w:p>
        </w:tc>
        <w:tc>
          <w:tcPr>
            <w:tcW w:w="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3799</w:t>
            </w:r>
          </w:p>
        </w:tc>
        <w:tc>
          <w:tcPr>
            <w:tcW w:w="2567" w:type="dxa"/>
            <w:tcBorders>
              <w:bottom w:val="single" w:color="auto" w:sz="4" w:space="0"/>
            </w:tcBorders>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其他未列明运输设备制造</w:t>
            </w:r>
          </w:p>
        </w:tc>
        <w:tc>
          <w:tcPr>
            <w:tcW w:w="1975" w:type="dxa"/>
            <w:gridSpan w:val="2"/>
            <w:vMerge w:val="continue"/>
            <w:tcBorders>
              <w:bottom w:val="single" w:color="auto" w:sz="4" w:space="0"/>
            </w:tcBorders>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31</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C38</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电气机械和器材制造业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电机制造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3811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发电机及发电机组制造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太阳能电池片生产；有电镀工艺的；年用溶剂型涂料（含稀释剂）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电动机制造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3813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微特电机及组件制造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3819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其他电机制造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382</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输配电及控制设备制造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3821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spacing w:val="-8"/>
                <w:kern w:val="0"/>
                <w:szCs w:val="21"/>
                <w14:textFill>
                  <w14:solidFill>
                    <w14:schemeClr w14:val="tx1"/>
                  </w14:solidFill>
                </w14:textFill>
              </w:rPr>
            </w:pPr>
            <w:r>
              <w:rPr>
                <w:rFonts w:hint="eastAsia" w:ascii="Times New Roman" w:hAnsi="Times New Roman" w:eastAsia="仿宋_GB2312" w:cs="宋体"/>
                <w:color w:val="000000" w:themeColor="text1"/>
                <w:spacing w:val="-8"/>
                <w:kern w:val="0"/>
                <w:szCs w:val="21"/>
                <w14:textFill>
                  <w14:solidFill>
                    <w14:schemeClr w14:val="tx1"/>
                  </w14:solidFill>
                </w14:textFill>
              </w:rPr>
              <w:t>变压器、整流器和电感器制造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3822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电容器及其配套设备制造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3823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配电开关控制设备制造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3824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电力电子元器件制造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3825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光伏设备及元器件制造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3829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其他输配电及控制设备制造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383</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电线、电缆、光缆及电工器材制造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3831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电线、电缆制造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3832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光纤制造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3833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光缆制造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3834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绝缘制品制造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3839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其他电工器材制造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384</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电池制造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3843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铅蓄电池制造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385</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家用电力器具制造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3851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家用制冷电器具制造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3852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家用空气调节器制造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3853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家用通风电器具制造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3854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家用厨房电器具制造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3855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家用清洁卫生电器具制造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3856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家用美容、保健护理电器具制造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3857</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家用电力器具专用配件制造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3859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其他家用电力器具制造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386</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非电力家用器具制造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3861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燃气及类似能源家用器具制造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3862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太阳能器具制造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3869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其他非电力家用器具制造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387</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照明器具制造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3871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电光源制造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3872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照明灯具制造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3873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舞台及场地用灯制造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3874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智能照明器具制造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3879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灯用电器附件及其他照明器具制造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389</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其他电气机械及器材制造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3891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电气信号设备装置制造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3899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其他未列明电气机械及器材制造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32</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C39</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计算机、通信和其他电子设备制造业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397</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电子器件制造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3973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集成电路制造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使用有机溶剂的；有酸洗的；仅分割、焊接、组装的除外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3974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显示器件制造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398</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电子元件及电子专用材料制造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3981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电阻电容电感元件制造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半导体材料制造；电子化工材料制造；印刷电路板制造；使用有机溶剂的；有酸洗的；仅分割、焊接、组装的除外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3982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电子电路制造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3983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敏感元件及传感器制造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3984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电声器件及零件制造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3985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电子专用材料制造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3989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其他电子元件制造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33</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C40</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仪器仪表制造业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通用仪器仪表制造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4011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工业自动控制系统装置制造</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电工仪器仪表制造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4013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绘图、计算及测量仪器制造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4014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实验分析仪器制造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4015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试验机制造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4016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供应用仪器仪表制造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4019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其他通用仪器制造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402</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专用仪器仪表制造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4021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环境监测专用仪器仪表制造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4022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运输设备及生产用计数仪表制造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4023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导航、测绘、气象及海洋专用仪器制造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4024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农林牧渔专用仪器仪表制造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4025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spacing w:val="-10"/>
                <w:kern w:val="0"/>
                <w:szCs w:val="21"/>
                <w14:textFill>
                  <w14:solidFill>
                    <w14:schemeClr w14:val="tx1"/>
                  </w14:solidFill>
                </w14:textFill>
              </w:rPr>
            </w:pPr>
            <w:r>
              <w:rPr>
                <w:rFonts w:hint="eastAsia" w:ascii="Times New Roman" w:hAnsi="Times New Roman" w:eastAsia="仿宋_GB2312" w:cs="宋体"/>
                <w:color w:val="000000" w:themeColor="text1"/>
                <w:spacing w:val="-10"/>
                <w:kern w:val="0"/>
                <w:szCs w:val="21"/>
                <w14:textFill>
                  <w14:solidFill>
                    <w14:schemeClr w14:val="tx1"/>
                  </w14:solidFill>
                </w14:textFill>
              </w:rPr>
              <w:t>地质勘探和地震专用仪器制造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88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4026</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教学专用仪器制造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4028</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电子测量仪器制造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4029</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其他专用仪器制造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403</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钟表与计时仪器制造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4030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钟表与计时仪器制造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404</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光学仪器制造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4040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光学仪器制造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405</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衡器制造</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4050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衡器制造</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409</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其他仪器仪表制造业</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4090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其他仪器仪表制造业</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w:t>
            </w:r>
          </w:p>
        </w:tc>
        <w:tc>
          <w:tcPr>
            <w:tcW w:w="53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C42</w:t>
            </w:r>
          </w:p>
        </w:tc>
        <w:tc>
          <w:tcPr>
            <w:tcW w:w="1003"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废弃资源综合利用业</w:t>
            </w: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421</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金属废料和碎屑加工处理</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4210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金属废料和碎屑加工处理</w:t>
            </w:r>
          </w:p>
        </w:tc>
        <w:tc>
          <w:tcPr>
            <w:tcW w:w="1975" w:type="dxa"/>
            <w:gridSpan w:val="2"/>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废电池、废油加工处理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1970" w:hRule="atLeast"/>
          <w:jc w:val="center"/>
        </w:trPr>
        <w:tc>
          <w:tcPr>
            <w:tcW w:w="562"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34</w:t>
            </w:r>
          </w:p>
        </w:tc>
        <w:tc>
          <w:tcPr>
            <w:tcW w:w="53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C42</w:t>
            </w:r>
          </w:p>
        </w:tc>
        <w:tc>
          <w:tcPr>
            <w:tcW w:w="1003"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废弃资源综合利用业</w:t>
            </w: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422</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非金属废料和碎屑加工处理</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4220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非金属废料和碎屑加工处理</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废电池、废油加工处理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35</w:t>
            </w:r>
          </w:p>
        </w:tc>
        <w:tc>
          <w:tcPr>
            <w:tcW w:w="53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C43</w:t>
            </w:r>
          </w:p>
        </w:tc>
        <w:tc>
          <w:tcPr>
            <w:tcW w:w="1003"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金属制品、机械和设备修理业</w:t>
            </w: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432</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通用设备修理</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4320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通用设备修理</w:t>
            </w:r>
          </w:p>
        </w:tc>
        <w:tc>
          <w:tcPr>
            <w:tcW w:w="1975" w:type="dxa"/>
            <w:gridSpan w:val="2"/>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有电镀工艺的；年用溶剂型涂料（含稀释剂）10吨及以上的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433</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专用设备修理</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4330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专用设备修理</w:t>
            </w:r>
          </w:p>
        </w:tc>
        <w:tc>
          <w:tcPr>
            <w:tcW w:w="1975" w:type="dxa"/>
            <w:gridSpan w:val="2"/>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434</w:t>
            </w:r>
          </w:p>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p>
        </w:tc>
        <w:tc>
          <w:tcPr>
            <w:tcW w:w="1130"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铁路、船舶、航空航天等运输设备修理</w:t>
            </w:r>
          </w:p>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4341</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铁路运输设备修理</w:t>
            </w:r>
          </w:p>
        </w:tc>
        <w:tc>
          <w:tcPr>
            <w:tcW w:w="1975" w:type="dxa"/>
            <w:gridSpan w:val="2"/>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p>
        </w:tc>
        <w:tc>
          <w:tcPr>
            <w:tcW w:w="1130" w:type="dxa"/>
            <w:vMerge w:val="continue"/>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4342</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船舶修理</w:t>
            </w:r>
          </w:p>
        </w:tc>
        <w:tc>
          <w:tcPr>
            <w:tcW w:w="1975" w:type="dxa"/>
            <w:gridSpan w:val="2"/>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36</w:t>
            </w:r>
          </w:p>
        </w:tc>
        <w:tc>
          <w:tcPr>
            <w:tcW w:w="53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D44</w:t>
            </w:r>
          </w:p>
        </w:tc>
        <w:tc>
          <w:tcPr>
            <w:tcW w:w="1003"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电力、热力生产和供应业</w:t>
            </w:r>
          </w:p>
        </w:tc>
        <w:tc>
          <w:tcPr>
            <w:tcW w:w="564"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441</w:t>
            </w:r>
          </w:p>
        </w:tc>
        <w:tc>
          <w:tcPr>
            <w:tcW w:w="1130"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电力生产</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4411</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火力发电</w:t>
            </w:r>
          </w:p>
        </w:tc>
        <w:tc>
          <w:tcPr>
            <w:tcW w:w="1975" w:type="dxa"/>
            <w:gridSpan w:val="2"/>
            <w:vMerge w:val="restart"/>
            <w:shd w:val="clear" w:color="auto" w:fill="auto"/>
            <w:noWrap/>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发电机组节能改造和单纯利用余热、余压发电的除外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4412</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热电联产</w:t>
            </w:r>
          </w:p>
        </w:tc>
        <w:tc>
          <w:tcPr>
            <w:tcW w:w="1975" w:type="dxa"/>
            <w:gridSpan w:val="2"/>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4413</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水力发电</w:t>
            </w:r>
          </w:p>
        </w:tc>
        <w:tc>
          <w:tcPr>
            <w:tcW w:w="1975" w:type="dxa"/>
            <w:gridSpan w:val="2"/>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4417</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生物质能发电</w:t>
            </w:r>
          </w:p>
        </w:tc>
        <w:tc>
          <w:tcPr>
            <w:tcW w:w="1975" w:type="dxa"/>
            <w:gridSpan w:val="2"/>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掺烧生活垃圾和污泥发电的除外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443</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热力生产和供应</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4430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热力生产和供应</w:t>
            </w:r>
          </w:p>
        </w:tc>
        <w:tc>
          <w:tcPr>
            <w:tcW w:w="1975" w:type="dxa"/>
            <w:gridSpan w:val="2"/>
            <w:shd w:val="clear" w:color="auto" w:fill="auto"/>
            <w:noWrap/>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燃煤、燃油锅炉总容量65吨/小时（45.5兆瓦）以上的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37</w:t>
            </w:r>
          </w:p>
        </w:tc>
        <w:tc>
          <w:tcPr>
            <w:tcW w:w="53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D45</w:t>
            </w:r>
          </w:p>
        </w:tc>
        <w:tc>
          <w:tcPr>
            <w:tcW w:w="1003"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燃气生产和供应业</w:t>
            </w: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451</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燃气生产和供应业</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4513</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煤气生产和供应业</w:t>
            </w:r>
          </w:p>
        </w:tc>
        <w:tc>
          <w:tcPr>
            <w:tcW w:w="1975" w:type="dxa"/>
            <w:gridSpan w:val="2"/>
            <w:shd w:val="clear" w:color="auto" w:fill="auto"/>
            <w:noWrap/>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煤气生产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38</w:t>
            </w:r>
          </w:p>
        </w:tc>
        <w:tc>
          <w:tcPr>
            <w:tcW w:w="53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D46</w:t>
            </w:r>
          </w:p>
        </w:tc>
        <w:tc>
          <w:tcPr>
            <w:tcW w:w="1003"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水的生产和供应业</w:t>
            </w: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461</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自来水生产和供应</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4610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自来水生产和供应</w:t>
            </w:r>
          </w:p>
        </w:tc>
        <w:tc>
          <w:tcPr>
            <w:tcW w:w="1975" w:type="dxa"/>
            <w:gridSpan w:val="2"/>
            <w:shd w:val="clear" w:color="auto" w:fill="auto"/>
            <w:noWrap/>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462</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污水处理及其再生利用</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4620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污水处理及其再生利用</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新建、扩建日处理500吨及以上城乡污水处理的；新建、扩建工业废水集中处理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39</w:t>
            </w:r>
          </w:p>
        </w:tc>
        <w:tc>
          <w:tcPr>
            <w:tcW w:w="53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F52</w:t>
            </w:r>
          </w:p>
        </w:tc>
        <w:tc>
          <w:tcPr>
            <w:tcW w:w="1003"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零售业</w:t>
            </w:r>
          </w:p>
        </w:tc>
        <w:tc>
          <w:tcPr>
            <w:tcW w:w="564"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526</w:t>
            </w:r>
          </w:p>
        </w:tc>
        <w:tc>
          <w:tcPr>
            <w:tcW w:w="1130"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汽车、摩托车、零配件和燃料及其他动力销售</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5265</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机动车燃油零售</w:t>
            </w:r>
          </w:p>
        </w:tc>
        <w:tc>
          <w:tcPr>
            <w:tcW w:w="1975" w:type="dxa"/>
            <w:gridSpan w:val="2"/>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5266</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机动车燃气零售</w:t>
            </w:r>
          </w:p>
        </w:tc>
        <w:tc>
          <w:tcPr>
            <w:tcW w:w="1975" w:type="dxa"/>
            <w:gridSpan w:val="2"/>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40</w:t>
            </w:r>
          </w:p>
        </w:tc>
        <w:tc>
          <w:tcPr>
            <w:tcW w:w="53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G53</w:t>
            </w:r>
          </w:p>
        </w:tc>
        <w:tc>
          <w:tcPr>
            <w:tcW w:w="1003"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铁路运输业</w:t>
            </w: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532</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铁路货物运输</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5320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铁路货物运输</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涉及（一）类环境敏感区域的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533</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铁路运输辅助活动</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5332</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货运火车站（场）</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41</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G54</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道路运输业</w:t>
            </w: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543</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道路货物运输</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5431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普通货物道路运输</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涉及（一）类环境敏感区域的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5432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冷藏车道路运输</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5433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集装箱道路运输</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5434</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大型货物道路运输</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5435</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危险货物道路运输</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5436</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邮件包裹道路运输</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5437</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城市配送</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5439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其他道路货物运输</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42</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G55</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水上运输业</w:t>
            </w:r>
          </w:p>
        </w:tc>
        <w:tc>
          <w:tcPr>
            <w:tcW w:w="564"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552</w:t>
            </w:r>
          </w:p>
        </w:tc>
        <w:tc>
          <w:tcPr>
            <w:tcW w:w="1130"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水上货物运输</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5523</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内河货物运输</w:t>
            </w:r>
          </w:p>
        </w:tc>
        <w:tc>
          <w:tcPr>
            <w:tcW w:w="1975" w:type="dxa"/>
            <w:gridSpan w:val="2"/>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553</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水上运输辅助活动</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5531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客运港口</w:t>
            </w:r>
          </w:p>
        </w:tc>
        <w:tc>
          <w:tcPr>
            <w:tcW w:w="1975" w:type="dxa"/>
            <w:gridSpan w:val="2"/>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5532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货运港口</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5539</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其他水上运输辅助活动</w:t>
            </w:r>
          </w:p>
        </w:tc>
        <w:tc>
          <w:tcPr>
            <w:tcW w:w="1975" w:type="dxa"/>
            <w:gridSpan w:val="2"/>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43</w:t>
            </w:r>
          </w:p>
        </w:tc>
        <w:tc>
          <w:tcPr>
            <w:tcW w:w="537"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G56</w:t>
            </w:r>
          </w:p>
        </w:tc>
        <w:tc>
          <w:tcPr>
            <w:tcW w:w="1003"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航空运输业</w:t>
            </w:r>
          </w:p>
        </w:tc>
        <w:tc>
          <w:tcPr>
            <w:tcW w:w="564" w:type="dxa"/>
            <w:vMerge w:val="restart"/>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563</w:t>
            </w:r>
          </w:p>
        </w:tc>
        <w:tc>
          <w:tcPr>
            <w:tcW w:w="1130" w:type="dxa"/>
            <w:vMerge w:val="restart"/>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航空运输辅助活动</w:t>
            </w: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5631</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机场</w:t>
            </w:r>
          </w:p>
        </w:tc>
        <w:tc>
          <w:tcPr>
            <w:tcW w:w="1975" w:type="dxa"/>
            <w:gridSpan w:val="2"/>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9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9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9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5632</w:t>
            </w:r>
          </w:p>
        </w:tc>
        <w:tc>
          <w:tcPr>
            <w:tcW w:w="2567" w:type="dxa"/>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空中交通管理</w:t>
            </w:r>
          </w:p>
        </w:tc>
        <w:tc>
          <w:tcPr>
            <w:tcW w:w="1975" w:type="dxa"/>
            <w:gridSpan w:val="2"/>
            <w:shd w:val="clear" w:color="auto" w:fill="auto"/>
            <w:vAlign w:val="center"/>
          </w:tcPr>
          <w:p>
            <w:pPr>
              <w:overflowPunct w:val="0"/>
              <w:topLinePunct/>
              <w:spacing w:line="29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供油工程；涉及（二）类环境敏感区域的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44</w:t>
            </w:r>
          </w:p>
        </w:tc>
        <w:tc>
          <w:tcPr>
            <w:tcW w:w="53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G57</w:t>
            </w:r>
          </w:p>
        </w:tc>
        <w:tc>
          <w:tcPr>
            <w:tcW w:w="1003"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管道运输业</w:t>
            </w: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572</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陆地管道运输</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5720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陆地管道运输</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城市天然气管线除外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45</w:t>
            </w:r>
          </w:p>
        </w:tc>
        <w:tc>
          <w:tcPr>
            <w:tcW w:w="53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G59</w:t>
            </w:r>
          </w:p>
        </w:tc>
        <w:tc>
          <w:tcPr>
            <w:tcW w:w="1003"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装卸搬运和仓储业</w:t>
            </w: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593</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低温仓储</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5930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低温仓储</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594</w:t>
            </w:r>
          </w:p>
        </w:tc>
        <w:tc>
          <w:tcPr>
            <w:tcW w:w="1130"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危险品仓储</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5941</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油气仓储</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5942</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危险化学品仓储</w:t>
            </w:r>
          </w:p>
        </w:tc>
        <w:tc>
          <w:tcPr>
            <w:tcW w:w="1975" w:type="dxa"/>
            <w:gridSpan w:val="2"/>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有毒、有害及危险品仓储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5949</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其他危险品仓储</w:t>
            </w:r>
          </w:p>
        </w:tc>
        <w:tc>
          <w:tcPr>
            <w:tcW w:w="1975" w:type="dxa"/>
            <w:gridSpan w:val="2"/>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46</w:t>
            </w:r>
          </w:p>
        </w:tc>
        <w:tc>
          <w:tcPr>
            <w:tcW w:w="53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M73</w:t>
            </w:r>
          </w:p>
        </w:tc>
        <w:tc>
          <w:tcPr>
            <w:tcW w:w="1003"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研究和试验发展</w:t>
            </w: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731</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自然科学研究和试验发展</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7310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自然科学研究和试验发展</w:t>
            </w:r>
          </w:p>
        </w:tc>
        <w:tc>
          <w:tcPr>
            <w:tcW w:w="1975" w:type="dxa"/>
            <w:gridSpan w:val="2"/>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P3</w:t>
            </w:r>
            <w:r>
              <w:rPr>
                <w:rFonts w:hint="eastAsia" w:ascii="Times New Roman" w:hAnsi="Times New Roman" w:eastAsia="仿宋_GB2312"/>
                <w:color w:val="000000" w:themeColor="text1"/>
                <w:kern w:val="0"/>
                <w:szCs w:val="21"/>
                <w14:textFill>
                  <w14:solidFill>
                    <w14:schemeClr w14:val="tx1"/>
                  </w14:solidFill>
                </w14:textFill>
              </w:rPr>
              <w:t>、</w:t>
            </w:r>
            <w:r>
              <w:rPr>
                <w:rFonts w:ascii="Times New Roman" w:hAnsi="Times New Roman" w:eastAsia="等线"/>
                <w:color w:val="000000" w:themeColor="text1"/>
                <w:kern w:val="0"/>
                <w:szCs w:val="21"/>
                <w14:textFill>
                  <w14:solidFill>
                    <w14:schemeClr w14:val="tx1"/>
                  </w14:solidFill>
                </w14:textFill>
              </w:rPr>
              <w:t>P4</w:t>
            </w:r>
            <w:r>
              <w:rPr>
                <w:rFonts w:hint="eastAsia" w:ascii="Times New Roman" w:hAnsi="Times New Roman" w:eastAsia="仿宋_GB2312"/>
                <w:color w:val="000000" w:themeColor="text1"/>
                <w:kern w:val="0"/>
                <w:szCs w:val="21"/>
                <w14:textFill>
                  <w14:solidFill>
                    <w14:schemeClr w14:val="tx1"/>
                  </w14:solidFill>
                </w14:textFill>
              </w:rPr>
              <w:t>生物安全实验室；转基因实验室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732</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工程和技术研究和试验发展</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7320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工程和技术研究和试验发展</w:t>
            </w:r>
          </w:p>
        </w:tc>
        <w:tc>
          <w:tcPr>
            <w:tcW w:w="1975" w:type="dxa"/>
            <w:gridSpan w:val="2"/>
            <w:shd w:val="clear" w:color="auto" w:fill="auto"/>
            <w:noWrap/>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733</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农业科学研究和试验发展</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7330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农业科学研究和试验发展</w:t>
            </w:r>
          </w:p>
        </w:tc>
        <w:tc>
          <w:tcPr>
            <w:tcW w:w="1975" w:type="dxa"/>
            <w:gridSpan w:val="2"/>
            <w:shd w:val="clear" w:color="auto" w:fill="auto"/>
            <w:noWrap/>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734</w:t>
            </w:r>
          </w:p>
        </w:tc>
        <w:tc>
          <w:tcPr>
            <w:tcW w:w="1130"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医学研究和试验发展</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7340</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医学研究和试验发展</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47</w:t>
            </w:r>
          </w:p>
        </w:tc>
        <w:tc>
          <w:tcPr>
            <w:tcW w:w="537"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N77</w:t>
            </w:r>
          </w:p>
        </w:tc>
        <w:tc>
          <w:tcPr>
            <w:tcW w:w="1003"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生态保护和环境治理业</w:t>
            </w:r>
          </w:p>
        </w:tc>
        <w:tc>
          <w:tcPr>
            <w:tcW w:w="564" w:type="dxa"/>
            <w:vMerge w:val="restart"/>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772</w:t>
            </w:r>
          </w:p>
        </w:tc>
        <w:tc>
          <w:tcPr>
            <w:tcW w:w="1130" w:type="dxa"/>
            <w:vMerge w:val="restart"/>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环境治理业</w:t>
            </w: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7723</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固体废物治理</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一般工业固体废物（含污水处理污泥）处置及综合利用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28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28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28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7724</w:t>
            </w:r>
          </w:p>
        </w:tc>
        <w:tc>
          <w:tcPr>
            <w:tcW w:w="2567" w:type="dxa"/>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危险废物治理</w:t>
            </w:r>
          </w:p>
        </w:tc>
        <w:tc>
          <w:tcPr>
            <w:tcW w:w="1975" w:type="dxa"/>
            <w:gridSpan w:val="2"/>
            <w:shd w:val="clear" w:color="auto" w:fill="auto"/>
            <w:vAlign w:val="center"/>
          </w:tcPr>
          <w:p>
            <w:pPr>
              <w:overflowPunct w:val="0"/>
              <w:topLinePunct/>
              <w:spacing w:line="28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危险废物（含医疗废物）收集、贮存、运输、利用及处置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48</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N78</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公共设施管理业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782</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环境卫生管理</w:t>
            </w:r>
          </w:p>
        </w:tc>
        <w:tc>
          <w:tcPr>
            <w:tcW w:w="56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7820</w:t>
            </w:r>
          </w:p>
        </w:tc>
        <w:tc>
          <w:tcPr>
            <w:tcW w:w="2567"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环境卫生管理</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生活垃圾（含餐厨废弃物）集中处置（生活垃圾发电除外）采取填埋方式的；其他处置方式日处置能力50吨及以上的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3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2567"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49</w:t>
            </w:r>
          </w:p>
        </w:tc>
        <w:tc>
          <w:tcPr>
            <w:tcW w:w="53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O80</w:t>
            </w:r>
          </w:p>
        </w:tc>
        <w:tc>
          <w:tcPr>
            <w:tcW w:w="1003"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居民服务业</w:t>
            </w:r>
          </w:p>
        </w:tc>
        <w:tc>
          <w:tcPr>
            <w:tcW w:w="564"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806</w:t>
            </w:r>
          </w:p>
        </w:tc>
        <w:tc>
          <w:tcPr>
            <w:tcW w:w="1130"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摄影扩印服务</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8060</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摄影扩印服务</w:t>
            </w:r>
          </w:p>
        </w:tc>
        <w:tc>
          <w:tcPr>
            <w:tcW w:w="1975" w:type="dxa"/>
            <w:gridSpan w:val="2"/>
            <w:shd w:val="clear" w:color="auto" w:fill="auto"/>
            <w:noWrap/>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50</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O81</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机动车、电子产品和</w:t>
            </w:r>
            <w:r>
              <w:rPr>
                <w:rFonts w:ascii="Times New Roman" w:hAnsi="Times New Roman" w:eastAsia="仿宋_GB2312"/>
                <w:color w:val="000000" w:themeColor="text1"/>
                <w:kern w:val="0"/>
                <w:szCs w:val="21"/>
                <w14:textFill>
                  <w14:solidFill>
                    <w14:schemeClr w14:val="tx1"/>
                  </w14:solidFill>
                </w14:textFill>
              </w:rPr>
              <w:t xml:space="preserve"> </w:t>
            </w:r>
            <w:r>
              <w:rPr>
                <w:rFonts w:hint="eastAsia" w:ascii="Times New Roman" w:hAnsi="Times New Roman" w:eastAsia="仿宋_GB2312" w:cs="宋体"/>
                <w:color w:val="000000" w:themeColor="text1"/>
                <w:kern w:val="0"/>
                <w:szCs w:val="21"/>
                <w14:textFill>
                  <w14:solidFill>
                    <w14:schemeClr w14:val="tx1"/>
                  </w14:solidFill>
                </w14:textFill>
              </w:rPr>
              <w:t>日用产品修理业</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811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汽车、摩托车等修理与维护</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8111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汽车修理与维护</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有电镀工艺的；年用溶剂型涂料（含稀释剂）</w:t>
            </w:r>
            <w:r>
              <w:rPr>
                <w:rFonts w:ascii="Times New Roman" w:hAnsi="Times New Roman" w:eastAsia="仿宋_GB2312"/>
                <w:color w:val="000000" w:themeColor="text1"/>
                <w:kern w:val="0"/>
                <w:szCs w:val="21"/>
                <w14:textFill>
                  <w14:solidFill>
                    <w14:schemeClr w14:val="tx1"/>
                  </w14:solidFill>
                </w14:textFill>
              </w:rPr>
              <w:t>10</w:t>
            </w:r>
            <w:r>
              <w:rPr>
                <w:rFonts w:hint="eastAsia" w:ascii="Times New Roman" w:hAnsi="Times New Roman" w:eastAsia="仿宋_GB2312" w:cs="宋体"/>
                <w:color w:val="000000" w:themeColor="text1"/>
                <w:kern w:val="0"/>
                <w:szCs w:val="21"/>
                <w14:textFill>
                  <w14:solidFill>
                    <w14:schemeClr w14:val="tx1"/>
                  </w14:solidFill>
                </w14:textFill>
              </w:rPr>
              <w:t>吨及以上的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8112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大型车辆装备修理与维护</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8113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摩托车修理与维护</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8114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助动车等修理与维护</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51</w:t>
            </w:r>
          </w:p>
        </w:tc>
        <w:tc>
          <w:tcPr>
            <w:tcW w:w="537"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Q84</w:t>
            </w:r>
          </w:p>
        </w:tc>
        <w:tc>
          <w:tcPr>
            <w:tcW w:w="1003"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卫生</w:t>
            </w:r>
          </w:p>
        </w:tc>
        <w:tc>
          <w:tcPr>
            <w:tcW w:w="564" w:type="dxa"/>
            <w:vMerge w:val="restart"/>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841</w:t>
            </w:r>
          </w:p>
        </w:tc>
        <w:tc>
          <w:tcPr>
            <w:tcW w:w="1130" w:type="dxa"/>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医院</w:t>
            </w: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8411</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综合医院</w:t>
            </w:r>
          </w:p>
        </w:tc>
        <w:tc>
          <w:tcPr>
            <w:tcW w:w="1975" w:type="dxa"/>
            <w:gridSpan w:val="2"/>
            <w:vMerge w:val="restart"/>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涉及环境敏感区域的；二级以上医院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8412</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中医医院</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8413</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中西医结合医院</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8414</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民族医院</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8" w:type="dxa"/>
          <w:trHeight w:val="20" w:hRule="atLeast"/>
          <w:jc w:val="center"/>
        </w:trPr>
        <w:tc>
          <w:tcPr>
            <w:tcW w:w="562"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537"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003"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4" w:type="dxa"/>
            <w:vMerge w:val="continue"/>
            <w:vAlign w:val="center"/>
          </w:tcPr>
          <w:p>
            <w:pPr>
              <w:overflowPunct w:val="0"/>
              <w:topLinePunct/>
              <w:spacing w:line="300" w:lineRule="exact"/>
              <w:jc w:val="left"/>
              <w:rPr>
                <w:rFonts w:ascii="Times New Roman" w:hAnsi="Times New Roman" w:eastAsia="等线"/>
                <w:color w:val="000000" w:themeColor="text1"/>
                <w:kern w:val="0"/>
                <w:szCs w:val="21"/>
                <w14:textFill>
                  <w14:solidFill>
                    <w14:schemeClr w14:val="tx1"/>
                  </w14:solidFill>
                </w14:textFill>
              </w:rPr>
            </w:pPr>
          </w:p>
        </w:tc>
        <w:tc>
          <w:tcPr>
            <w:tcW w:w="1130" w:type="dxa"/>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c>
          <w:tcPr>
            <w:tcW w:w="567"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8415</w:t>
            </w:r>
          </w:p>
        </w:tc>
        <w:tc>
          <w:tcPr>
            <w:tcW w:w="2567" w:type="dxa"/>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专科医院</w:t>
            </w:r>
          </w:p>
        </w:tc>
        <w:tc>
          <w:tcPr>
            <w:tcW w:w="1975" w:type="dxa"/>
            <w:gridSpan w:val="2"/>
            <w:vMerge w:val="continue"/>
            <w:vAlign w:val="center"/>
          </w:tcPr>
          <w:p>
            <w:pPr>
              <w:overflowPunct w:val="0"/>
              <w:topLinePunct/>
              <w:spacing w:line="300" w:lineRule="exact"/>
              <w:jc w:val="left"/>
              <w:rPr>
                <w:rFonts w:ascii="Times New Roman" w:hAnsi="Times New Roman"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jc w:val="center"/>
        </w:trPr>
        <w:tc>
          <w:tcPr>
            <w:tcW w:w="562"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ascii="Times New Roman" w:hAnsi="Times New Roman" w:eastAsia="等线"/>
                <w:color w:val="000000" w:themeColor="text1"/>
                <w:kern w:val="0"/>
                <w:szCs w:val="21"/>
                <w14:textFill>
                  <w14:solidFill>
                    <w14:schemeClr w14:val="tx1"/>
                  </w14:solidFill>
                </w14:textFill>
              </w:rPr>
              <w:t>52</w:t>
            </w:r>
          </w:p>
        </w:tc>
        <w:tc>
          <w:tcPr>
            <w:tcW w:w="6376" w:type="dxa"/>
            <w:gridSpan w:val="7"/>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危险废物（含医疗废物）产生企业；使用液氨的企业</w:t>
            </w:r>
          </w:p>
        </w:tc>
        <w:tc>
          <w:tcPr>
            <w:tcW w:w="1975" w:type="dxa"/>
            <w:gridSpan w:val="2"/>
            <w:shd w:val="clear" w:color="auto" w:fill="auto"/>
            <w:vAlign w:val="center"/>
          </w:tcPr>
          <w:p>
            <w:pPr>
              <w:overflowPunct w:val="0"/>
              <w:topLinePunct/>
              <w:spacing w:line="300" w:lineRule="exact"/>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不包含在以上类别中，但涉及危险废物（含医疗废物）产生的企业和使用液氨的企业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0" w:hRule="atLeast"/>
          <w:jc w:val="center"/>
        </w:trPr>
        <w:tc>
          <w:tcPr>
            <w:tcW w:w="562" w:type="dxa"/>
            <w:shd w:val="clear" w:color="auto" w:fill="auto"/>
            <w:vAlign w:val="center"/>
          </w:tcPr>
          <w:p>
            <w:pPr>
              <w:overflowPunct w:val="0"/>
              <w:topLinePunct/>
              <w:spacing w:line="300" w:lineRule="exact"/>
              <w:jc w:val="center"/>
              <w:rPr>
                <w:rFonts w:ascii="Times New Roman" w:hAnsi="Times New Roman" w:eastAsia="等线"/>
                <w:color w:val="000000" w:themeColor="text1"/>
                <w:kern w:val="0"/>
                <w:szCs w:val="21"/>
                <w14:textFill>
                  <w14:solidFill>
                    <w14:schemeClr w14:val="tx1"/>
                  </w14:solidFill>
                </w14:textFill>
              </w:rPr>
            </w:pPr>
            <w:r>
              <w:rPr>
                <w:rFonts w:hint="eastAsia" w:ascii="Times New Roman" w:hAnsi="Times New Roman" w:eastAsia="等线"/>
                <w:color w:val="000000" w:themeColor="text1"/>
                <w:kern w:val="0"/>
                <w:szCs w:val="21"/>
                <w14:textFill>
                  <w14:solidFill>
                    <w14:schemeClr w14:val="tx1"/>
                  </w14:solidFill>
                </w14:textFill>
              </w:rPr>
              <w:t>53</w:t>
            </w:r>
          </w:p>
        </w:tc>
        <w:tc>
          <w:tcPr>
            <w:tcW w:w="6376" w:type="dxa"/>
            <w:gridSpan w:val="7"/>
            <w:shd w:val="clear" w:color="auto" w:fill="auto"/>
            <w:vAlign w:val="center"/>
          </w:tcPr>
          <w:p>
            <w:pPr>
              <w:overflowPunct w:val="0"/>
              <w:topLinePunct/>
              <w:spacing w:line="300" w:lineRule="exact"/>
              <w:jc w:val="center"/>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其他</w:t>
            </w:r>
          </w:p>
        </w:tc>
        <w:tc>
          <w:tcPr>
            <w:tcW w:w="1975" w:type="dxa"/>
            <w:gridSpan w:val="2"/>
            <w:shd w:val="clear" w:color="auto" w:fill="auto"/>
            <w:vAlign w:val="center"/>
          </w:tcPr>
          <w:p>
            <w:pPr>
              <w:overflowPunct w:val="0"/>
              <w:topLinePunct/>
              <w:spacing w:line="300" w:lineRule="exact"/>
              <w:rPr>
                <w:rFonts w:ascii="Times New Roman" w:hAnsi="Times New Roman" w:eastAsia="仿宋_GB2312" w:cs="宋体"/>
                <w:color w:val="000000" w:themeColor="text1"/>
                <w:kern w:val="0"/>
                <w:szCs w:val="21"/>
                <w14:textFill>
                  <w14:solidFill>
                    <w14:schemeClr w14:val="tx1"/>
                  </w14:solidFill>
                </w14:textFill>
              </w:rPr>
            </w:pPr>
            <w:r>
              <w:rPr>
                <w:rFonts w:hint="eastAsia" w:ascii="Times New Roman" w:hAnsi="Times New Roman" w:eastAsia="仿宋_GB2312" w:cs="宋体"/>
                <w:color w:val="000000" w:themeColor="text1"/>
                <w:kern w:val="0"/>
                <w:szCs w:val="21"/>
                <w14:textFill>
                  <w14:solidFill>
                    <w14:schemeClr w14:val="tx1"/>
                  </w14:solidFill>
                </w14:textFill>
              </w:rPr>
              <w:t>鼓励其他企业制定突发环境事件应急预案，或在突发事件应急预案中制定突发环境事件应急预案专章，并备案。</w:t>
            </w:r>
          </w:p>
        </w:tc>
      </w:tr>
    </w:tbl>
    <w:p>
      <w:pPr>
        <w:overflowPunct w:val="0"/>
        <w:topLinePunct/>
        <w:spacing w:line="300" w:lineRule="exact"/>
        <w:ind w:firstLine="420" w:firstLineChars="200"/>
        <w:rPr>
          <w:rFonts w:ascii="Times New Roman" w:hAnsi="Times New Roman" w:eastAsia="仿宋_GB2312"/>
          <w:bCs/>
          <w:szCs w:val="21"/>
        </w:rPr>
      </w:pPr>
      <w:r>
        <w:rPr>
          <w:rFonts w:hint="eastAsia" w:ascii="Times New Roman" w:hAnsi="Times New Roman" w:eastAsia="仿宋_GB2312"/>
          <w:bCs/>
          <w:szCs w:val="21"/>
        </w:rPr>
        <w:t>备注：环境敏感区域指：（一）国家公园、自然保护区、风景名胜区、世界文化和自然遗产地、海洋特别保护区、饮用水水源保护区；（二）</w:t>
      </w:r>
      <w:r>
        <w:rPr>
          <w:rFonts w:ascii="Times New Roman" w:hAnsi="Times New Roman" w:eastAsia="仿宋_GB2312"/>
          <w:bCs/>
          <w:szCs w:val="21"/>
        </w:rPr>
        <w:t>除（一）外的生态保护红线管控范围，永久基本农田、 基本草原、自然公园（森林公园、地质公园、海洋公园等）、重要湿地、天然林，重点保护野生动物栖息地，重点保护野生植物生长繁殖地，重要水生生物的自然产卵场、索饵场、越冬场和洄游通道，天然渔场，水土流失重点预防区和重点治理区、沙化土地封禁保护区、封闭及半封闭海域；（三）以居住、医疗卫生、文化教育、科研、行政办公为主要功能的区域，以及文物保护单位。</w:t>
      </w:r>
    </w:p>
    <w:p>
      <w:pPr>
        <w:overflowPunct w:val="0"/>
        <w:topLinePunct/>
        <w:spacing w:line="300" w:lineRule="exact"/>
        <w:rPr>
          <w:rFonts w:ascii="Times New Roman" w:hAnsi="Times New Roman" w:eastAsia="仿宋_GB2312"/>
          <w:sz w:val="28"/>
        </w:rPr>
      </w:pPr>
      <w:bookmarkStart w:id="0" w:name="_GoBack"/>
      <w:bookmarkEnd w:id="0"/>
      <w:r>
        <w:rPr>
          <w:rFonts w:ascii="Times New Roman" w:hAnsi="Times New Roman" w:eastAsia="仿宋_GB2312"/>
          <w:sz w:val="28"/>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166370</wp:posOffset>
                </wp:positionV>
                <wp:extent cx="1209675" cy="561975"/>
                <wp:effectExtent l="0" t="0" r="9525" b="9525"/>
                <wp:wrapNone/>
                <wp:docPr id="1" name="矩形 1"/>
                <wp:cNvGraphicFramePr/>
                <a:graphic xmlns:a="http://schemas.openxmlformats.org/drawingml/2006/main">
                  <a:graphicData uri="http://schemas.microsoft.com/office/word/2010/wordprocessingShape">
                    <wps:wsp>
                      <wps:cNvSpPr/>
                      <wps:spPr>
                        <a:xfrm>
                          <a:off x="0" y="0"/>
                          <a:ext cx="1209675"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6pt;margin-top:13.1pt;height:44.25pt;width:95.25pt;z-index:251659264;v-text-anchor:middle;mso-width-relative:page;mso-height-relative:page;" fillcolor="#FFFFFF [3212]" filled="t" stroked="f" coordsize="21600,21600" o:gfxdata="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AMVcVr2AAAAAgBAAAPAAAAAAAAAAEAIAAAADgAAABkcnMvZG93bnJldi54bWxQ&#10;SwECFAAUAAAACACHTuJAZ/5RGFMCAACMBAAADgAAAAAAAAABACAAAAA9AQAAZHJzL2Uyb0RvYy54&#10;bWxQSwUGAAAAAAYABgBZAQAAAgYAAAAA&#10;">
                <v:fill on="t" focussize="0,0"/>
                <v:stroke on="f" weight="1pt" miterlimit="8" joinstyle="miter"/>
                <v:imagedata o:title=""/>
                <o:lock v:ext="edit" aspectratio="f"/>
              </v:rect>
            </w:pict>
          </mc:Fallback>
        </mc:AlternateContent>
      </w:r>
    </w:p>
    <w:sectPr>
      <w:footerReference r:id="rId3" w:type="default"/>
      <w:footerReference r:id="rId4" w:type="even"/>
      <w:pgSz w:w="11906" w:h="16838"/>
      <w:pgMar w:top="2098" w:right="1474" w:bottom="1985" w:left="1588" w:header="851" w:footer="1418"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altName w:val="汉仪叶叶相思体简"/>
    <w:panose1 w:val="03000500000000000000"/>
    <w:charset w:val="00"/>
    <w:family w:val="script"/>
    <w:pitch w:val="default"/>
    <w:sig w:usb0="00000000" w:usb1="00000000" w:usb2="0002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true"/>
  <w:bordersDoNotSurroundFooter w:val="true"/>
  <w:documentProtection w:edit="readOnly"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Y2I1NDRiZTcwMGY4ZjY4MWRlNzQxYzEyZTk2YzIifQ=="/>
  </w:docVars>
  <w:rsids>
    <w:rsidRoot w:val="004903AD"/>
    <w:rsid w:val="000137AD"/>
    <w:rsid w:val="00014BFD"/>
    <w:rsid w:val="00044006"/>
    <w:rsid w:val="0005167B"/>
    <w:rsid w:val="00053D94"/>
    <w:rsid w:val="000555B6"/>
    <w:rsid w:val="00055D2B"/>
    <w:rsid w:val="0006238C"/>
    <w:rsid w:val="00090E44"/>
    <w:rsid w:val="0009712C"/>
    <w:rsid w:val="000A1D55"/>
    <w:rsid w:val="000A41E0"/>
    <w:rsid w:val="000B74B8"/>
    <w:rsid w:val="000C5A9F"/>
    <w:rsid w:val="000D6AF6"/>
    <w:rsid w:val="00122299"/>
    <w:rsid w:val="00130C4E"/>
    <w:rsid w:val="00140E91"/>
    <w:rsid w:val="0016146D"/>
    <w:rsid w:val="0016611A"/>
    <w:rsid w:val="00180FFD"/>
    <w:rsid w:val="0018717D"/>
    <w:rsid w:val="00187ABA"/>
    <w:rsid w:val="001A181A"/>
    <w:rsid w:val="001A3CCE"/>
    <w:rsid w:val="001A63C4"/>
    <w:rsid w:val="001A6B67"/>
    <w:rsid w:val="001B115E"/>
    <w:rsid w:val="001C421B"/>
    <w:rsid w:val="001D5F2E"/>
    <w:rsid w:val="001F2BCD"/>
    <w:rsid w:val="002114AC"/>
    <w:rsid w:val="0021278C"/>
    <w:rsid w:val="00213FE4"/>
    <w:rsid w:val="00222919"/>
    <w:rsid w:val="00226630"/>
    <w:rsid w:val="00232B74"/>
    <w:rsid w:val="00233B14"/>
    <w:rsid w:val="00240855"/>
    <w:rsid w:val="002509E2"/>
    <w:rsid w:val="00272221"/>
    <w:rsid w:val="0027339A"/>
    <w:rsid w:val="00273850"/>
    <w:rsid w:val="00282507"/>
    <w:rsid w:val="002A71CA"/>
    <w:rsid w:val="002B1B3E"/>
    <w:rsid w:val="002C122E"/>
    <w:rsid w:val="002C7B19"/>
    <w:rsid w:val="002F4ABB"/>
    <w:rsid w:val="00300A2F"/>
    <w:rsid w:val="00302935"/>
    <w:rsid w:val="003409E7"/>
    <w:rsid w:val="00344247"/>
    <w:rsid w:val="003504CF"/>
    <w:rsid w:val="00362D14"/>
    <w:rsid w:val="003718A2"/>
    <w:rsid w:val="003B126C"/>
    <w:rsid w:val="003C4A29"/>
    <w:rsid w:val="003C66B9"/>
    <w:rsid w:val="003C759A"/>
    <w:rsid w:val="003F1B45"/>
    <w:rsid w:val="003F3467"/>
    <w:rsid w:val="003F621D"/>
    <w:rsid w:val="00406045"/>
    <w:rsid w:val="00431C2F"/>
    <w:rsid w:val="00432E17"/>
    <w:rsid w:val="00450AD7"/>
    <w:rsid w:val="00471B1A"/>
    <w:rsid w:val="00480960"/>
    <w:rsid w:val="004903AD"/>
    <w:rsid w:val="00494615"/>
    <w:rsid w:val="00494E9C"/>
    <w:rsid w:val="004A0D8D"/>
    <w:rsid w:val="004E5EED"/>
    <w:rsid w:val="005038F3"/>
    <w:rsid w:val="00506A88"/>
    <w:rsid w:val="00543B24"/>
    <w:rsid w:val="00546B00"/>
    <w:rsid w:val="00556894"/>
    <w:rsid w:val="00560018"/>
    <w:rsid w:val="0056180A"/>
    <w:rsid w:val="0057043D"/>
    <w:rsid w:val="00583441"/>
    <w:rsid w:val="00585B84"/>
    <w:rsid w:val="005A26AF"/>
    <w:rsid w:val="005B06F6"/>
    <w:rsid w:val="005B3C89"/>
    <w:rsid w:val="005C1F11"/>
    <w:rsid w:val="005C48F7"/>
    <w:rsid w:val="005C7784"/>
    <w:rsid w:val="005D03E8"/>
    <w:rsid w:val="005E4792"/>
    <w:rsid w:val="005E5424"/>
    <w:rsid w:val="00616311"/>
    <w:rsid w:val="00617DBA"/>
    <w:rsid w:val="00623A7E"/>
    <w:rsid w:val="0063498E"/>
    <w:rsid w:val="00640A1E"/>
    <w:rsid w:val="00642304"/>
    <w:rsid w:val="006429C8"/>
    <w:rsid w:val="00644C40"/>
    <w:rsid w:val="0066590F"/>
    <w:rsid w:val="0066605A"/>
    <w:rsid w:val="006A165F"/>
    <w:rsid w:val="006A29EA"/>
    <w:rsid w:val="006B4238"/>
    <w:rsid w:val="006B60AA"/>
    <w:rsid w:val="006C0E29"/>
    <w:rsid w:val="006C7D1E"/>
    <w:rsid w:val="006D331F"/>
    <w:rsid w:val="006D6260"/>
    <w:rsid w:val="006F3466"/>
    <w:rsid w:val="006F79A9"/>
    <w:rsid w:val="007059FC"/>
    <w:rsid w:val="0071554E"/>
    <w:rsid w:val="00742FEB"/>
    <w:rsid w:val="00747244"/>
    <w:rsid w:val="00747BA3"/>
    <w:rsid w:val="00760524"/>
    <w:rsid w:val="0076388E"/>
    <w:rsid w:val="007745BE"/>
    <w:rsid w:val="007801C1"/>
    <w:rsid w:val="007C4ADF"/>
    <w:rsid w:val="007D1E1F"/>
    <w:rsid w:val="007D248B"/>
    <w:rsid w:val="007D3E3B"/>
    <w:rsid w:val="007E0818"/>
    <w:rsid w:val="007F010E"/>
    <w:rsid w:val="008046E1"/>
    <w:rsid w:val="00814CB9"/>
    <w:rsid w:val="00827713"/>
    <w:rsid w:val="008319CB"/>
    <w:rsid w:val="00882576"/>
    <w:rsid w:val="0089358D"/>
    <w:rsid w:val="008D35B0"/>
    <w:rsid w:val="008F1EFD"/>
    <w:rsid w:val="008F6383"/>
    <w:rsid w:val="00904FB6"/>
    <w:rsid w:val="00907AE5"/>
    <w:rsid w:val="00921CAE"/>
    <w:rsid w:val="00952CDB"/>
    <w:rsid w:val="00966E41"/>
    <w:rsid w:val="00967F82"/>
    <w:rsid w:val="00972397"/>
    <w:rsid w:val="00991B0D"/>
    <w:rsid w:val="009A526E"/>
    <w:rsid w:val="009B59C9"/>
    <w:rsid w:val="009C2319"/>
    <w:rsid w:val="009C3F30"/>
    <w:rsid w:val="009C665A"/>
    <w:rsid w:val="009D20B8"/>
    <w:rsid w:val="009D3365"/>
    <w:rsid w:val="009E6740"/>
    <w:rsid w:val="00A000AC"/>
    <w:rsid w:val="00A067C2"/>
    <w:rsid w:val="00A360E1"/>
    <w:rsid w:val="00A4451A"/>
    <w:rsid w:val="00A62EB0"/>
    <w:rsid w:val="00A64FFC"/>
    <w:rsid w:val="00A73981"/>
    <w:rsid w:val="00A7704A"/>
    <w:rsid w:val="00A96397"/>
    <w:rsid w:val="00AC392A"/>
    <w:rsid w:val="00AF14BC"/>
    <w:rsid w:val="00AF7D1B"/>
    <w:rsid w:val="00B045AB"/>
    <w:rsid w:val="00B06D6E"/>
    <w:rsid w:val="00B27167"/>
    <w:rsid w:val="00B51A0E"/>
    <w:rsid w:val="00B66CBA"/>
    <w:rsid w:val="00B7068F"/>
    <w:rsid w:val="00B75F33"/>
    <w:rsid w:val="00B80015"/>
    <w:rsid w:val="00B81704"/>
    <w:rsid w:val="00B95450"/>
    <w:rsid w:val="00BB0D69"/>
    <w:rsid w:val="00BB4C62"/>
    <w:rsid w:val="00BC309E"/>
    <w:rsid w:val="00BF384E"/>
    <w:rsid w:val="00C02AF7"/>
    <w:rsid w:val="00C168D3"/>
    <w:rsid w:val="00C2013E"/>
    <w:rsid w:val="00C42950"/>
    <w:rsid w:val="00C46F67"/>
    <w:rsid w:val="00C60407"/>
    <w:rsid w:val="00C71FFC"/>
    <w:rsid w:val="00C7505A"/>
    <w:rsid w:val="00C756B6"/>
    <w:rsid w:val="00C8131A"/>
    <w:rsid w:val="00C83312"/>
    <w:rsid w:val="00C855B1"/>
    <w:rsid w:val="00C873A3"/>
    <w:rsid w:val="00C907B4"/>
    <w:rsid w:val="00CA3EE9"/>
    <w:rsid w:val="00CB197C"/>
    <w:rsid w:val="00CC29F0"/>
    <w:rsid w:val="00CE51B3"/>
    <w:rsid w:val="00CE588C"/>
    <w:rsid w:val="00CE6896"/>
    <w:rsid w:val="00D04137"/>
    <w:rsid w:val="00D06FC4"/>
    <w:rsid w:val="00D15630"/>
    <w:rsid w:val="00D439CB"/>
    <w:rsid w:val="00D515CE"/>
    <w:rsid w:val="00D716D0"/>
    <w:rsid w:val="00D72CD4"/>
    <w:rsid w:val="00D8314E"/>
    <w:rsid w:val="00D92BF4"/>
    <w:rsid w:val="00DA4A38"/>
    <w:rsid w:val="00DA6B68"/>
    <w:rsid w:val="00DB3F78"/>
    <w:rsid w:val="00DB3FBB"/>
    <w:rsid w:val="00DB5377"/>
    <w:rsid w:val="00DD0B01"/>
    <w:rsid w:val="00DD297D"/>
    <w:rsid w:val="00DF1A32"/>
    <w:rsid w:val="00DF6E72"/>
    <w:rsid w:val="00E01944"/>
    <w:rsid w:val="00E01F0F"/>
    <w:rsid w:val="00E023B7"/>
    <w:rsid w:val="00E101A8"/>
    <w:rsid w:val="00E1075E"/>
    <w:rsid w:val="00E14AFA"/>
    <w:rsid w:val="00E44EA3"/>
    <w:rsid w:val="00E654D7"/>
    <w:rsid w:val="00E877BC"/>
    <w:rsid w:val="00EA654C"/>
    <w:rsid w:val="00EB3418"/>
    <w:rsid w:val="00ED200A"/>
    <w:rsid w:val="00ED5E52"/>
    <w:rsid w:val="00EF20A4"/>
    <w:rsid w:val="00F252AA"/>
    <w:rsid w:val="00F26BD4"/>
    <w:rsid w:val="00F50727"/>
    <w:rsid w:val="00F55975"/>
    <w:rsid w:val="00F7420A"/>
    <w:rsid w:val="00F932DE"/>
    <w:rsid w:val="00F971A6"/>
    <w:rsid w:val="00FA53FE"/>
    <w:rsid w:val="00FB4EE8"/>
    <w:rsid w:val="00FC2CBE"/>
    <w:rsid w:val="00FD1710"/>
    <w:rsid w:val="00FE27D7"/>
    <w:rsid w:val="00FF20BA"/>
    <w:rsid w:val="00FF58AD"/>
    <w:rsid w:val="012260BB"/>
    <w:rsid w:val="012319BD"/>
    <w:rsid w:val="01F51F1D"/>
    <w:rsid w:val="036C224D"/>
    <w:rsid w:val="043D7DB9"/>
    <w:rsid w:val="05C30A57"/>
    <w:rsid w:val="07D41595"/>
    <w:rsid w:val="0BCC1DC4"/>
    <w:rsid w:val="0DDE7332"/>
    <w:rsid w:val="0E5E5490"/>
    <w:rsid w:val="0EB82871"/>
    <w:rsid w:val="0EFD7ADE"/>
    <w:rsid w:val="12623700"/>
    <w:rsid w:val="19F2270F"/>
    <w:rsid w:val="1CBB3588"/>
    <w:rsid w:val="1F8C2C06"/>
    <w:rsid w:val="1FE7D3D0"/>
    <w:rsid w:val="1FF7C407"/>
    <w:rsid w:val="24F523D9"/>
    <w:rsid w:val="26A6259B"/>
    <w:rsid w:val="26B6068C"/>
    <w:rsid w:val="27FA6095"/>
    <w:rsid w:val="29AC2B41"/>
    <w:rsid w:val="2A2D65A0"/>
    <w:rsid w:val="2C9B0298"/>
    <w:rsid w:val="2D8965DB"/>
    <w:rsid w:val="2F940FC7"/>
    <w:rsid w:val="30A8204D"/>
    <w:rsid w:val="31533421"/>
    <w:rsid w:val="348838B0"/>
    <w:rsid w:val="357D7864"/>
    <w:rsid w:val="35B06593"/>
    <w:rsid w:val="35E10695"/>
    <w:rsid w:val="374D3C86"/>
    <w:rsid w:val="38626D4B"/>
    <w:rsid w:val="399B4468"/>
    <w:rsid w:val="3A63048C"/>
    <w:rsid w:val="3AFF1896"/>
    <w:rsid w:val="3BA6676F"/>
    <w:rsid w:val="3BFA539D"/>
    <w:rsid w:val="3CC017BD"/>
    <w:rsid w:val="3E667167"/>
    <w:rsid w:val="406A65EA"/>
    <w:rsid w:val="42E87B4F"/>
    <w:rsid w:val="437F92F7"/>
    <w:rsid w:val="47C8772A"/>
    <w:rsid w:val="488B23FD"/>
    <w:rsid w:val="49020772"/>
    <w:rsid w:val="49DF5F47"/>
    <w:rsid w:val="4A6C5D16"/>
    <w:rsid w:val="4B286A16"/>
    <w:rsid w:val="4C057CD4"/>
    <w:rsid w:val="4C8A758B"/>
    <w:rsid w:val="4D6E7AD0"/>
    <w:rsid w:val="4E0559A4"/>
    <w:rsid w:val="4F692830"/>
    <w:rsid w:val="4FDF0105"/>
    <w:rsid w:val="4FED5D57"/>
    <w:rsid w:val="52746CD0"/>
    <w:rsid w:val="53BB92EC"/>
    <w:rsid w:val="569C2D41"/>
    <w:rsid w:val="56F24046"/>
    <w:rsid w:val="59AB64DC"/>
    <w:rsid w:val="5A4D6D4F"/>
    <w:rsid w:val="5A7C3609"/>
    <w:rsid w:val="5AFF7B41"/>
    <w:rsid w:val="5C46326A"/>
    <w:rsid w:val="5E335E5C"/>
    <w:rsid w:val="616FF0B9"/>
    <w:rsid w:val="62224372"/>
    <w:rsid w:val="62BE2F0F"/>
    <w:rsid w:val="63500CFE"/>
    <w:rsid w:val="63534C92"/>
    <w:rsid w:val="642C2875"/>
    <w:rsid w:val="64C31CB6"/>
    <w:rsid w:val="6615B84E"/>
    <w:rsid w:val="69F87AF2"/>
    <w:rsid w:val="6BCF7BA5"/>
    <w:rsid w:val="6C361BCE"/>
    <w:rsid w:val="6C8B63B2"/>
    <w:rsid w:val="6C9A2C32"/>
    <w:rsid w:val="6DA62019"/>
    <w:rsid w:val="6DD5019A"/>
    <w:rsid w:val="6F4D2B6A"/>
    <w:rsid w:val="720E264F"/>
    <w:rsid w:val="723BD92D"/>
    <w:rsid w:val="72F5429F"/>
    <w:rsid w:val="73D841F5"/>
    <w:rsid w:val="73FFDEBF"/>
    <w:rsid w:val="755A7A5D"/>
    <w:rsid w:val="75B46E13"/>
    <w:rsid w:val="75F15A64"/>
    <w:rsid w:val="76153594"/>
    <w:rsid w:val="775D66F9"/>
    <w:rsid w:val="77FEBF79"/>
    <w:rsid w:val="7A1545F8"/>
    <w:rsid w:val="7BFB1AB0"/>
    <w:rsid w:val="7DFD66F1"/>
    <w:rsid w:val="7E3B6857"/>
    <w:rsid w:val="7EB9FC1E"/>
    <w:rsid w:val="7F753A0E"/>
    <w:rsid w:val="7F9FCACB"/>
    <w:rsid w:val="7FF33E55"/>
    <w:rsid w:val="7FF7C8FC"/>
    <w:rsid w:val="8DFEE5D0"/>
    <w:rsid w:val="9DEBE739"/>
    <w:rsid w:val="AEC7BB4C"/>
    <w:rsid w:val="AF7E3CE7"/>
    <w:rsid w:val="AFFE02BC"/>
    <w:rsid w:val="B524A9ED"/>
    <w:rsid w:val="BEEFF605"/>
    <w:rsid w:val="BFB55C0E"/>
    <w:rsid w:val="D1FF4098"/>
    <w:rsid w:val="DE6F3997"/>
    <w:rsid w:val="DF3D8FC4"/>
    <w:rsid w:val="DFF35D9A"/>
    <w:rsid w:val="DFFFE7EF"/>
    <w:rsid w:val="ECAA175F"/>
    <w:rsid w:val="EFBB7C6E"/>
    <w:rsid w:val="EFFF406B"/>
    <w:rsid w:val="EFFF65B2"/>
    <w:rsid w:val="F66A320D"/>
    <w:rsid w:val="F763F4F2"/>
    <w:rsid w:val="FAEF6F96"/>
    <w:rsid w:val="FB671602"/>
    <w:rsid w:val="FB9AB554"/>
    <w:rsid w:val="FB9FA6DF"/>
    <w:rsid w:val="FBB78153"/>
    <w:rsid w:val="FBEF20FA"/>
    <w:rsid w:val="FFDBF5FE"/>
    <w:rsid w:val="FFEBC6F9"/>
    <w:rsid w:val="FFFDC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15"/>
    <w:qFormat/>
    <w:uiPriority w:val="0"/>
    <w:pPr>
      <w:keepNext/>
      <w:keepLines/>
      <w:spacing w:before="340" w:after="330" w:line="576" w:lineRule="auto"/>
      <w:outlineLvl w:val="0"/>
    </w:pPr>
    <w:rPr>
      <w:b/>
      <w:kern w:val="44"/>
      <w:sz w:val="44"/>
    </w:rPr>
  </w:style>
  <w:style w:type="paragraph" w:styleId="5">
    <w:name w:val="heading 2"/>
    <w:basedOn w:val="1"/>
    <w:next w:val="1"/>
    <w:link w:val="16"/>
    <w:semiHidden/>
    <w:unhideWhenUsed/>
    <w:qFormat/>
    <w:uiPriority w:val="0"/>
    <w:pPr>
      <w:keepNext/>
      <w:keepLines/>
      <w:spacing w:before="260" w:after="260" w:line="412" w:lineRule="auto"/>
      <w:outlineLvl w:val="1"/>
    </w:pPr>
    <w:rPr>
      <w:rFonts w:ascii="Arial" w:hAnsi="Arial" w:eastAsia="黑体" w:cs="Times New Roman"/>
      <w:b/>
      <w:sz w:val="32"/>
      <w:szCs w:val="24"/>
    </w:rPr>
  </w:style>
  <w:style w:type="paragraph" w:styleId="6">
    <w:name w:val="heading 3"/>
    <w:basedOn w:val="1"/>
    <w:next w:val="1"/>
    <w:link w:val="17"/>
    <w:semiHidden/>
    <w:unhideWhenUsed/>
    <w:qFormat/>
    <w:uiPriority w:val="0"/>
    <w:pPr>
      <w:spacing w:before="100" w:beforeAutospacing="1" w:after="100" w:afterAutospacing="1"/>
      <w:jc w:val="left"/>
      <w:outlineLvl w:val="2"/>
    </w:pPr>
    <w:rPr>
      <w:rFonts w:ascii="宋体" w:hAnsi="宋体" w:eastAsia="楷体" w:cs="宋体"/>
      <w:b/>
      <w:kern w:val="0"/>
      <w:sz w:val="32"/>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6"/>
    <w:unhideWhenUsed/>
    <w:qFormat/>
    <w:uiPriority w:val="99"/>
    <w:rPr>
      <w:rFonts w:ascii="Calibri" w:hAnsi="Calibri" w:eastAsia="宋体" w:cs="Times New Roman"/>
    </w:rPr>
  </w:style>
  <w:style w:type="paragraph" w:styleId="4">
    <w:name w:val="Normal (Web)"/>
    <w:basedOn w:val="1"/>
    <w:semiHidden/>
    <w:unhideWhenUsed/>
    <w:qFormat/>
    <w:uiPriority w:val="0"/>
    <w:pPr>
      <w:spacing w:before="100" w:beforeAutospacing="1" w:after="100" w:afterAutospacing="1"/>
      <w:jc w:val="left"/>
    </w:pPr>
    <w:rPr>
      <w:rFonts w:ascii="Calibri" w:hAnsi="Calibri" w:eastAsia="宋体" w:cs="Times New Roman"/>
      <w:kern w:val="0"/>
      <w:sz w:val="24"/>
      <w:szCs w:val="24"/>
    </w:rPr>
  </w:style>
  <w:style w:type="paragraph" w:styleId="7">
    <w:name w:val="Body Text"/>
    <w:basedOn w:val="1"/>
    <w:semiHidden/>
    <w:unhideWhenUsed/>
    <w:qFormat/>
    <w:uiPriority w:val="99"/>
    <w:pPr>
      <w:spacing w:after="120"/>
    </w:pPr>
    <w:rPr>
      <w:rFonts w:ascii="等线" w:hAnsi="等线" w:eastAsia="等线" w:cs="Times New Roman"/>
    </w:rPr>
  </w:style>
  <w:style w:type="paragraph" w:styleId="8">
    <w:name w:val="Balloon Text"/>
    <w:basedOn w:val="1"/>
    <w:link w:val="21"/>
    <w:semiHidden/>
    <w:unhideWhenUsed/>
    <w:qFormat/>
    <w:uiPriority w:val="99"/>
    <w:rPr>
      <w:rFonts w:ascii="等线" w:hAnsi="等线" w:eastAsia="等线" w:cs="Times New Roman"/>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customStyle="1" w:styleId="15">
    <w:name w:val="标题 1 字符"/>
    <w:basedOn w:val="13"/>
    <w:link w:val="3"/>
    <w:qFormat/>
    <w:uiPriority w:val="0"/>
    <w:rPr>
      <w:rFonts w:ascii="Calibri" w:hAnsi="Calibri" w:eastAsia="宋体" w:cs="Times New Roman"/>
      <w:b/>
      <w:kern w:val="44"/>
      <w:sz w:val="44"/>
      <w:szCs w:val="24"/>
    </w:rPr>
  </w:style>
  <w:style w:type="character" w:customStyle="1" w:styleId="16">
    <w:name w:val="标题 2 字符"/>
    <w:basedOn w:val="13"/>
    <w:link w:val="5"/>
    <w:semiHidden/>
    <w:qFormat/>
    <w:uiPriority w:val="0"/>
    <w:rPr>
      <w:rFonts w:ascii="Arial" w:hAnsi="Arial" w:eastAsia="黑体" w:cs="Times New Roman"/>
      <w:b/>
      <w:sz w:val="32"/>
      <w:szCs w:val="24"/>
    </w:rPr>
  </w:style>
  <w:style w:type="character" w:customStyle="1" w:styleId="17">
    <w:name w:val="标题 3 字符"/>
    <w:basedOn w:val="13"/>
    <w:link w:val="6"/>
    <w:semiHidden/>
    <w:qFormat/>
    <w:uiPriority w:val="0"/>
    <w:rPr>
      <w:rFonts w:ascii="宋体" w:hAnsi="宋体" w:eastAsia="楷体" w:cs="宋体"/>
      <w:b/>
      <w:kern w:val="0"/>
      <w:sz w:val="32"/>
      <w:szCs w:val="27"/>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批注框文本 字符"/>
    <w:basedOn w:val="13"/>
    <w:link w:val="8"/>
    <w:semiHidden/>
    <w:qFormat/>
    <w:uiPriority w:val="99"/>
    <w:rPr>
      <w:rFonts w:ascii="等线" w:hAnsi="等线" w:eastAsia="等线" w:cs="Times New Roman"/>
      <w:sz w:val="18"/>
      <w:szCs w:val="18"/>
    </w:rPr>
  </w:style>
  <w:style w:type="paragraph" w:customStyle="1" w:styleId="2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List Paragraph1"/>
    <w:basedOn w:val="1"/>
    <w:qFormat/>
    <w:uiPriority w:val="99"/>
    <w:pPr>
      <w:ind w:firstLine="420" w:firstLineChars="200"/>
    </w:pPr>
    <w:rPr>
      <w:rFonts w:ascii="Calibri" w:hAnsi="Calibri" w:eastAsia="宋体" w:cs="Mongolian Baiti"/>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NormalCharacter"/>
    <w:semiHidden/>
    <w:qFormat/>
    <w:uiPriority w:val="0"/>
  </w:style>
  <w:style w:type="character" w:customStyle="1" w:styleId="26">
    <w:name w:val="称呼 字符"/>
    <w:basedOn w:val="13"/>
    <w:link w:val="2"/>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2566</Words>
  <Characters>14629</Characters>
  <Lines>121</Lines>
  <Paragraphs>34</Paragraphs>
  <TotalTime>24</TotalTime>
  <ScaleCrop>false</ScaleCrop>
  <LinksUpToDate>false</LinksUpToDate>
  <CharactersWithSpaces>17161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2022-12-07T14:23:00Z</dcterms:created>
  <dc:creator>刘林</dc:creator>
  <cp:lastModifiedBy>Lop_Nur</cp:lastModifiedBy>
  <cp:lastPrinted>2022-12-08T16:06:00Z</cp:lastPrinted>
  <dcterms:modified xsi:type="dcterms:W3CDTF">2022-12-09T16:17:20Z</dcterms:modified>
  <dc:title>四川省生态环境厅</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FADE1F87B6E74D03976C97E9BD3A3F82</vt:lpwstr>
  </property>
</Properties>
</file>