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djustRightInd w:val="0"/>
        <w:snapToGrid w:val="0"/>
        <w:spacing w:line="620" w:lineRule="exact"/>
        <w:ind w:firstLine="0" w:firstLineChars="0"/>
        <w:jc w:val="center"/>
        <w:rPr>
          <w:sz w:val="32"/>
          <w:szCs w:val="32"/>
        </w:rPr>
      </w:pPr>
      <w:bookmarkStart w:id="0" w:name="_Toc501829004"/>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20" w:lineRule="exact"/>
        <w:ind w:firstLine="0" w:firstLineChars="0"/>
        <w:jc w:val="center"/>
        <w:rPr>
          <w:sz w:val="32"/>
          <w:szCs w:val="32"/>
        </w:rPr>
      </w:pPr>
    </w:p>
    <w:p>
      <w:pPr>
        <w:overflowPunct w:val="0"/>
        <w:topLinePunct/>
        <w:adjustRightInd w:val="0"/>
        <w:snapToGrid w:val="0"/>
        <w:spacing w:line="600" w:lineRule="exact"/>
        <w:ind w:firstLine="0" w:firstLineChars="0"/>
        <w:jc w:val="center"/>
        <w:rPr>
          <w:sz w:val="32"/>
          <w:szCs w:val="32"/>
        </w:rPr>
      </w:pPr>
      <w:r>
        <w:rPr>
          <w:rFonts w:hint="eastAsia"/>
          <w:sz w:val="32"/>
          <w:szCs w:val="32"/>
        </w:rPr>
        <w:t>川环规</w:t>
      </w:r>
      <w:r>
        <w:rPr>
          <w:sz w:val="32"/>
          <w:szCs w:val="32"/>
        </w:rPr>
        <w:t>〔20</w:t>
      </w:r>
      <w:r>
        <w:rPr>
          <w:rFonts w:hint="eastAsia"/>
          <w:sz w:val="32"/>
          <w:szCs w:val="32"/>
        </w:rPr>
        <w:t>23</w:t>
      </w:r>
      <w:r>
        <w:rPr>
          <w:sz w:val="32"/>
          <w:szCs w:val="32"/>
        </w:rPr>
        <w:t>〕7号</w:t>
      </w:r>
    </w:p>
    <w:p>
      <w:pPr>
        <w:overflowPunct w:val="0"/>
        <w:topLinePunct/>
        <w:adjustRightInd w:val="0"/>
        <w:snapToGrid w:val="0"/>
        <w:spacing w:line="600" w:lineRule="exact"/>
        <w:ind w:firstLine="0" w:firstLineChars="0"/>
        <w:jc w:val="center"/>
        <w:rPr>
          <w:rFonts w:eastAsia="方正小标宋简体" w:cs="Times New Roman"/>
          <w:sz w:val="44"/>
          <w:szCs w:val="44"/>
        </w:rPr>
      </w:pPr>
    </w:p>
    <w:p>
      <w:pPr>
        <w:overflowPunct w:val="0"/>
        <w:topLinePunct/>
        <w:adjustRightInd w:val="0"/>
        <w:snapToGrid w:val="0"/>
        <w:spacing w:line="580" w:lineRule="exact"/>
        <w:ind w:firstLine="0" w:firstLineChars="0"/>
        <w:jc w:val="center"/>
        <w:rPr>
          <w:rFonts w:eastAsia="方正小标宋简体" w:cs="Times New Roman"/>
          <w:sz w:val="44"/>
          <w:szCs w:val="44"/>
        </w:rPr>
      </w:pPr>
    </w:p>
    <w:p>
      <w:pPr>
        <w:overflowPunct w:val="0"/>
        <w:topLinePunct/>
        <w:adjustRightInd w:val="0"/>
        <w:snapToGrid w:val="0"/>
        <w:spacing w:line="580" w:lineRule="exact"/>
        <w:ind w:firstLine="0" w:firstLineChars="0"/>
        <w:jc w:val="center"/>
        <w:rPr>
          <w:rFonts w:eastAsia="方正小标宋简体" w:cs="Times New Roman"/>
          <w:sz w:val="44"/>
          <w:szCs w:val="44"/>
        </w:rPr>
      </w:pPr>
      <w:r>
        <w:rPr>
          <w:rFonts w:eastAsia="方正小标宋简体" w:cs="Times New Roman"/>
          <w:spacing w:val="-8"/>
          <w:kern w:val="0"/>
          <w:sz w:val="44"/>
          <w:szCs w:val="44"/>
        </w:rPr>
        <w:t>关于</w:t>
      </w:r>
      <w:r>
        <w:rPr>
          <w:rFonts w:hint="eastAsia" w:eastAsia="方正小标宋简体" w:cs="Times New Roman"/>
          <w:spacing w:val="-8"/>
          <w:kern w:val="0"/>
          <w:sz w:val="44"/>
          <w:szCs w:val="44"/>
        </w:rPr>
        <w:t>印发</w:t>
      </w:r>
      <w:r>
        <w:rPr>
          <w:rFonts w:eastAsia="方正小标宋简体" w:cs="Times New Roman"/>
          <w:spacing w:val="-8"/>
          <w:kern w:val="0"/>
          <w:sz w:val="44"/>
          <w:szCs w:val="44"/>
        </w:rPr>
        <w:t>《</w:t>
      </w:r>
      <w:r>
        <w:rPr>
          <w:rFonts w:eastAsia="方正小标宋简体" w:cs="Times New Roman"/>
          <w:kern w:val="0"/>
          <w:sz w:val="44"/>
          <w:szCs w:val="44"/>
        </w:rPr>
        <w:t>四川省</w:t>
      </w:r>
      <w:r>
        <w:rPr>
          <w:rFonts w:hint="eastAsia" w:eastAsia="方正小标宋简体" w:cs="Times New Roman"/>
          <w:kern w:val="0"/>
          <w:sz w:val="44"/>
          <w:szCs w:val="44"/>
        </w:rPr>
        <w:t>工矿用地</w:t>
      </w:r>
      <w:r>
        <w:rPr>
          <w:rFonts w:eastAsia="方正小标宋简体" w:cs="Times New Roman"/>
          <w:kern w:val="0"/>
          <w:sz w:val="44"/>
          <w:szCs w:val="44"/>
        </w:rPr>
        <w:t>土壤环境管理办法</w:t>
      </w:r>
      <w:r>
        <w:rPr>
          <w:rFonts w:eastAsia="方正小标宋简体" w:cs="Times New Roman"/>
          <w:sz w:val="44"/>
          <w:szCs w:val="44"/>
        </w:rPr>
        <w:t>》的</w:t>
      </w:r>
      <w:r>
        <w:rPr>
          <w:rFonts w:hint="eastAsia" w:eastAsia="方正小标宋简体" w:cs="Times New Roman"/>
          <w:sz w:val="44"/>
          <w:szCs w:val="44"/>
        </w:rPr>
        <w:t>通知</w:t>
      </w:r>
    </w:p>
    <w:p>
      <w:pPr>
        <w:overflowPunct w:val="0"/>
        <w:topLinePunct/>
        <w:adjustRightInd w:val="0"/>
        <w:snapToGrid w:val="0"/>
        <w:spacing w:line="580" w:lineRule="exact"/>
        <w:ind w:firstLine="880"/>
        <w:rPr>
          <w:rFonts w:eastAsia="方正小标宋简体" w:cs="Times New Roman"/>
          <w:sz w:val="44"/>
          <w:szCs w:val="44"/>
        </w:rPr>
      </w:pPr>
    </w:p>
    <w:p>
      <w:pPr>
        <w:overflowPunct w:val="0"/>
        <w:topLinePunct/>
        <w:adjustRightInd w:val="0"/>
        <w:snapToGrid w:val="0"/>
        <w:spacing w:line="580" w:lineRule="exact"/>
        <w:ind w:firstLine="0" w:firstLineChars="0"/>
        <w:rPr>
          <w:sz w:val="32"/>
          <w:szCs w:val="32"/>
        </w:rPr>
      </w:pPr>
      <w:r>
        <w:rPr>
          <w:rFonts w:hint="eastAsia"/>
          <w:sz w:val="32"/>
          <w:szCs w:val="32"/>
        </w:rPr>
        <w:t>各市（州）生态环境局、经济和信息化局、自然资源主管部门、住房城乡建设（城市管理）主管部门：</w:t>
      </w:r>
    </w:p>
    <w:p>
      <w:pPr>
        <w:overflowPunct w:val="0"/>
        <w:topLinePunct/>
        <w:adjustRightInd w:val="0"/>
        <w:snapToGrid w:val="0"/>
        <w:spacing w:line="580" w:lineRule="exact"/>
        <w:ind w:firstLine="640"/>
        <w:rPr>
          <w:sz w:val="32"/>
          <w:szCs w:val="32"/>
        </w:rPr>
      </w:pPr>
      <w:r>
        <w:rPr>
          <w:rFonts w:hint="eastAsia"/>
          <w:sz w:val="32"/>
          <w:szCs w:val="32"/>
        </w:rPr>
        <w:t>为贯彻落实《中华人民共和国土壤污染防治法》《四川省土壤污染防治条例》，加强全省工矿用地土壤环境管理，保障工矿企业用地土壤环境安全，结合我省实际，修订《四川省工矿用地土壤环境管理办法》，现印发给你们，请遵照执行。</w:t>
      </w:r>
    </w:p>
    <w:p>
      <w:pPr>
        <w:tabs>
          <w:tab w:val="left" w:pos="1418"/>
        </w:tabs>
        <w:overflowPunct w:val="0"/>
        <w:topLinePunct/>
        <w:adjustRightInd w:val="0"/>
        <w:snapToGrid w:val="0"/>
        <w:spacing w:line="600" w:lineRule="exact"/>
        <w:ind w:firstLine="640"/>
        <w:rPr>
          <w:rFonts w:cs="Times New Roman"/>
          <w:sz w:val="32"/>
          <w:szCs w:val="32"/>
        </w:rPr>
      </w:pPr>
    </w:p>
    <w:p>
      <w:pPr>
        <w:tabs>
          <w:tab w:val="left" w:pos="1418"/>
        </w:tabs>
        <w:overflowPunct w:val="0"/>
        <w:topLinePunct/>
        <w:adjustRightInd w:val="0"/>
        <w:snapToGrid w:val="0"/>
        <w:spacing w:line="600" w:lineRule="exact"/>
        <w:ind w:firstLine="640"/>
        <w:rPr>
          <w:rFonts w:cs="Times New Roman"/>
          <w:sz w:val="32"/>
          <w:szCs w:val="32"/>
        </w:rPr>
      </w:pPr>
    </w:p>
    <w:p>
      <w:pPr>
        <w:tabs>
          <w:tab w:val="left" w:pos="1418"/>
        </w:tabs>
        <w:overflowPunct w:val="0"/>
        <w:topLinePunct/>
        <w:adjustRightInd w:val="0"/>
        <w:snapToGrid w:val="0"/>
        <w:spacing w:line="600" w:lineRule="exact"/>
        <w:ind w:firstLine="960" w:firstLineChars="300"/>
        <w:jc w:val="right"/>
        <w:rPr>
          <w:rFonts w:cs="Times New Roman"/>
          <w:kern w:val="0"/>
          <w:sz w:val="32"/>
          <w:szCs w:val="32"/>
        </w:rPr>
      </w:pPr>
      <w:r>
        <w:rPr>
          <w:rFonts w:cs="Times New Roman"/>
          <w:kern w:val="0"/>
          <w:sz w:val="32"/>
          <w:szCs w:val="32"/>
        </w:rPr>
        <w:t>四川省</w:t>
      </w:r>
      <w:r>
        <w:rPr>
          <w:rFonts w:hint="eastAsia" w:cs="Times New Roman"/>
          <w:kern w:val="0"/>
          <w:sz w:val="32"/>
          <w:szCs w:val="32"/>
        </w:rPr>
        <w:t>生态</w:t>
      </w:r>
      <w:r>
        <w:rPr>
          <w:rFonts w:cs="Times New Roman"/>
          <w:kern w:val="0"/>
          <w:sz w:val="32"/>
          <w:szCs w:val="32"/>
        </w:rPr>
        <w:t>环境厅</w:t>
      </w:r>
      <w:r>
        <w:rPr>
          <w:rFonts w:hint="eastAsia" w:cs="Times New Roman"/>
          <w:kern w:val="0"/>
          <w:sz w:val="32"/>
          <w:szCs w:val="32"/>
        </w:rPr>
        <w:t xml:space="preserve"> </w:t>
      </w:r>
      <w:r>
        <w:rPr>
          <w:rFonts w:cs="Times New Roman"/>
          <w:kern w:val="0"/>
          <w:sz w:val="32"/>
          <w:szCs w:val="32"/>
        </w:rPr>
        <w:t xml:space="preserve">       </w:t>
      </w:r>
      <w:r>
        <w:rPr>
          <w:rFonts w:hint="eastAsia" w:cs="Times New Roman"/>
          <w:kern w:val="0"/>
          <w:sz w:val="32"/>
          <w:szCs w:val="32"/>
        </w:rPr>
        <w:t>四川省经济和信息化厅</w:t>
      </w:r>
    </w:p>
    <w:p>
      <w:pPr>
        <w:tabs>
          <w:tab w:val="left" w:pos="1418"/>
        </w:tabs>
        <w:overflowPunct w:val="0"/>
        <w:topLinePunct/>
        <w:adjustRightInd w:val="0"/>
        <w:snapToGrid w:val="0"/>
        <w:spacing w:line="660" w:lineRule="exact"/>
        <w:ind w:firstLine="998" w:firstLineChars="312"/>
        <w:jc w:val="right"/>
        <w:rPr>
          <w:rFonts w:cs="Times New Roman"/>
          <w:kern w:val="0"/>
          <w:sz w:val="32"/>
          <w:szCs w:val="32"/>
        </w:rPr>
      </w:pPr>
    </w:p>
    <w:p>
      <w:pPr>
        <w:tabs>
          <w:tab w:val="left" w:pos="1418"/>
        </w:tabs>
        <w:overflowPunct w:val="0"/>
        <w:topLinePunct/>
        <w:adjustRightInd w:val="0"/>
        <w:snapToGrid w:val="0"/>
        <w:spacing w:line="660" w:lineRule="exact"/>
        <w:ind w:firstLine="998" w:firstLineChars="312"/>
        <w:jc w:val="right"/>
        <w:rPr>
          <w:rFonts w:cs="Times New Roman"/>
          <w:kern w:val="0"/>
          <w:sz w:val="32"/>
          <w:szCs w:val="32"/>
        </w:rPr>
      </w:pPr>
    </w:p>
    <w:p>
      <w:pPr>
        <w:tabs>
          <w:tab w:val="left" w:pos="1418"/>
        </w:tabs>
        <w:overflowPunct w:val="0"/>
        <w:topLinePunct/>
        <w:adjustRightInd w:val="0"/>
        <w:snapToGrid w:val="0"/>
        <w:spacing w:line="660" w:lineRule="exact"/>
        <w:ind w:firstLine="998" w:firstLineChars="312"/>
        <w:jc w:val="right"/>
        <w:rPr>
          <w:rFonts w:cs="Times New Roman"/>
          <w:kern w:val="0"/>
          <w:sz w:val="32"/>
          <w:szCs w:val="32"/>
        </w:rPr>
      </w:pPr>
    </w:p>
    <w:p>
      <w:pPr>
        <w:tabs>
          <w:tab w:val="left" w:pos="1418"/>
        </w:tabs>
        <w:overflowPunct w:val="0"/>
        <w:topLinePunct/>
        <w:adjustRightInd w:val="0"/>
        <w:snapToGrid w:val="0"/>
        <w:spacing w:line="600" w:lineRule="exact"/>
        <w:ind w:firstLine="998" w:firstLineChars="312"/>
        <w:jc w:val="right"/>
        <w:rPr>
          <w:rFonts w:cs="Times New Roman"/>
          <w:sz w:val="32"/>
          <w:szCs w:val="32"/>
        </w:rPr>
      </w:pPr>
      <w:r>
        <w:rPr>
          <w:rFonts w:hint="eastAsia" w:cs="Times New Roman"/>
          <w:kern w:val="0"/>
          <w:sz w:val="32"/>
          <w:szCs w:val="32"/>
        </w:rPr>
        <w:t xml:space="preserve">四川省自然资源厅 </w:t>
      </w:r>
      <w:r>
        <w:rPr>
          <w:rFonts w:cs="Times New Roman"/>
          <w:kern w:val="0"/>
          <w:sz w:val="32"/>
          <w:szCs w:val="32"/>
        </w:rPr>
        <w:t xml:space="preserve">      </w:t>
      </w:r>
      <w:r>
        <w:rPr>
          <w:rFonts w:hint="eastAsia" w:cs="Times New Roman"/>
          <w:kern w:val="0"/>
          <w:sz w:val="32"/>
          <w:szCs w:val="32"/>
        </w:rPr>
        <w:t>四川省住房和城乡建设厅</w:t>
      </w:r>
    </w:p>
    <w:p>
      <w:pPr>
        <w:keepNext w:val="0"/>
        <w:keepLines w:val="0"/>
        <w:pageBreakBefore w:val="0"/>
        <w:widowControl w:val="0"/>
        <w:tabs>
          <w:tab w:val="left" w:pos="2240"/>
        </w:tabs>
        <w:kinsoku/>
        <w:wordWrap/>
        <w:overflowPunct w:val="0"/>
        <w:topLinePunct/>
        <w:autoSpaceDE/>
        <w:autoSpaceDN/>
        <w:bidi w:val="0"/>
        <w:adjustRightInd w:val="0"/>
        <w:snapToGrid w:val="0"/>
        <w:spacing w:line="600" w:lineRule="exact"/>
        <w:ind w:right="0" w:rightChars="0" w:firstLine="0" w:firstLineChars="0"/>
        <w:jc w:val="right"/>
        <w:textAlignment w:val="auto"/>
        <w:rPr>
          <w:rFonts w:cs="Times New Roman"/>
          <w:kern w:val="0"/>
          <w:sz w:val="32"/>
          <w:szCs w:val="32"/>
        </w:rPr>
      </w:pPr>
      <w:r>
        <w:rPr>
          <w:rFonts w:cs="Times New Roman"/>
          <w:kern w:val="0"/>
          <w:sz w:val="32"/>
          <w:szCs w:val="32"/>
        </w:rPr>
        <w:t>20</w:t>
      </w:r>
      <w:r>
        <w:rPr>
          <w:rFonts w:hint="eastAsia" w:cs="Times New Roman"/>
          <w:kern w:val="0"/>
          <w:sz w:val="32"/>
          <w:szCs w:val="32"/>
        </w:rPr>
        <w:t>23</w:t>
      </w:r>
      <w:r>
        <w:rPr>
          <w:rFonts w:cs="Times New Roman"/>
          <w:kern w:val="0"/>
          <w:sz w:val="32"/>
          <w:szCs w:val="32"/>
        </w:rPr>
        <w:t>年</w:t>
      </w:r>
      <w:r>
        <w:rPr>
          <w:rFonts w:hint="eastAsia" w:cs="Times New Roman"/>
          <w:kern w:val="0"/>
          <w:sz w:val="32"/>
          <w:szCs w:val="32"/>
        </w:rPr>
        <w:t>12</w:t>
      </w:r>
      <w:r>
        <w:rPr>
          <w:rFonts w:cs="Times New Roman"/>
          <w:kern w:val="0"/>
          <w:sz w:val="32"/>
          <w:szCs w:val="32"/>
        </w:rPr>
        <w:t>月</w:t>
      </w:r>
      <w:r>
        <w:rPr>
          <w:rFonts w:hint="eastAsia" w:cs="Times New Roman"/>
          <w:kern w:val="0"/>
          <w:sz w:val="32"/>
          <w:szCs w:val="32"/>
        </w:rPr>
        <w:t>22日</w:t>
      </w:r>
    </w:p>
    <w:p>
      <w:pPr>
        <w:tabs>
          <w:tab w:val="left" w:pos="2240"/>
        </w:tabs>
        <w:overflowPunct w:val="0"/>
        <w:topLinePunct/>
        <w:adjustRightInd w:val="0"/>
        <w:snapToGrid w:val="0"/>
        <w:spacing w:line="600" w:lineRule="exact"/>
        <w:ind w:firstLine="4480" w:firstLineChars="1400"/>
        <w:rPr>
          <w:rFonts w:cs="Times New Roman"/>
          <w:kern w:val="0"/>
          <w:sz w:val="32"/>
          <w:szCs w:val="32"/>
        </w:rPr>
      </w:pPr>
    </w:p>
    <w:p>
      <w:pPr>
        <w:overflowPunct w:val="0"/>
        <w:topLinePunct/>
        <w:adjustRightInd w:val="0"/>
        <w:snapToGrid w:val="0"/>
        <w:spacing w:line="600" w:lineRule="exact"/>
        <w:ind w:firstLine="640"/>
        <w:jc w:val="left"/>
        <w:outlineLvl w:val="0"/>
        <w:rPr>
          <w:rFonts w:eastAsia="黑体" w:cs="Times New Roman"/>
          <w:bCs/>
          <w:kern w:val="0"/>
          <w:sz w:val="32"/>
          <w:szCs w:val="32"/>
        </w:rPr>
      </w:pPr>
    </w:p>
    <w:p>
      <w:pPr>
        <w:overflowPunct w:val="0"/>
        <w:topLinePunct/>
        <w:adjustRightInd w:val="0"/>
        <w:snapToGrid w:val="0"/>
        <w:spacing w:line="600" w:lineRule="exact"/>
        <w:ind w:firstLine="640"/>
        <w:jc w:val="left"/>
        <w:outlineLvl w:val="0"/>
        <w:rPr>
          <w:rFonts w:eastAsia="黑体" w:cs="Times New Roman"/>
          <w:bCs/>
          <w:kern w:val="0"/>
          <w:sz w:val="32"/>
          <w:szCs w:val="32"/>
        </w:rPr>
      </w:pPr>
    </w:p>
    <w:p>
      <w:pPr>
        <w:overflowPunct w:val="0"/>
        <w:topLinePunct/>
        <w:spacing w:line="600" w:lineRule="exact"/>
        <w:ind w:firstLine="0" w:firstLineChars="0"/>
        <w:jc w:val="left"/>
        <w:rPr>
          <w:rFonts w:eastAsia="方正小标宋简体" w:cs="Times New Roman"/>
          <w:kern w:val="0"/>
          <w:sz w:val="44"/>
          <w:szCs w:val="44"/>
        </w:rPr>
      </w:pPr>
      <w:r>
        <w:rPr>
          <w:rFonts w:eastAsia="方正小标宋简体" w:cs="Times New Roman"/>
          <w:kern w:val="0"/>
          <w:sz w:val="44"/>
          <w:szCs w:val="44"/>
        </w:rPr>
        <w:br w:type="page"/>
      </w:r>
    </w:p>
    <w:bookmarkEnd w:id="0"/>
    <w:p>
      <w:pPr>
        <w:suppressAutoHyphens/>
        <w:overflowPunct w:val="0"/>
        <w:topLinePunct/>
        <w:adjustRightInd w:val="0"/>
        <w:snapToGrid w:val="0"/>
        <w:spacing w:line="600" w:lineRule="exact"/>
        <w:ind w:firstLine="0" w:firstLineChars="0"/>
        <w:jc w:val="center"/>
        <w:rPr>
          <w:rFonts w:eastAsia="方正小标宋简体" w:cs="Times New Roman"/>
          <w:kern w:val="0"/>
          <w:sz w:val="44"/>
          <w:szCs w:val="44"/>
        </w:rPr>
      </w:pPr>
      <w:r>
        <w:rPr>
          <w:rFonts w:eastAsia="方正小标宋简体" w:cs="Times New Roman"/>
          <w:kern w:val="0"/>
          <w:sz w:val="44"/>
          <w:szCs w:val="44"/>
        </w:rPr>
        <w:t>四川省工矿用地土壤环境管理办法</w:t>
      </w:r>
    </w:p>
    <w:p>
      <w:pPr>
        <w:overflowPunct w:val="0"/>
        <w:topLinePunct/>
        <w:spacing w:line="600" w:lineRule="exact"/>
        <w:ind w:firstLine="0" w:firstLineChars="0"/>
        <w:rPr>
          <w:rFonts w:cs="Times New Roman"/>
          <w:sz w:val="32"/>
          <w:szCs w:val="24"/>
        </w:rPr>
      </w:pPr>
    </w:p>
    <w:p>
      <w:pPr>
        <w:overflowPunct w:val="0"/>
        <w:topLinePunct/>
        <w:spacing w:line="600" w:lineRule="exact"/>
        <w:ind w:firstLine="643"/>
        <w:rPr>
          <w:rFonts w:cs="Times New Roman"/>
          <w:sz w:val="32"/>
          <w:szCs w:val="24"/>
        </w:rPr>
      </w:pPr>
      <w:r>
        <w:rPr>
          <w:rFonts w:hint="eastAsia" w:cs="Times New Roman"/>
          <w:b/>
          <w:bCs/>
          <w:sz w:val="32"/>
          <w:szCs w:val="24"/>
        </w:rPr>
        <w:t>第一条　</w:t>
      </w:r>
      <w:r>
        <w:rPr>
          <w:rFonts w:hint="eastAsia" w:cs="Times New Roman"/>
          <w:sz w:val="32"/>
          <w:szCs w:val="24"/>
        </w:rPr>
        <w:t>为加强全省工矿用地土壤和地下水生态环境监督管理，防治工矿用地土壤和地下水污染，根据《中华人民共和国土壤污染防治法》《四川省土壤污染防治条例》等法律法规规定，结合四川省实际，制定本办法。</w:t>
      </w:r>
    </w:p>
    <w:p>
      <w:pPr>
        <w:overflowPunct w:val="0"/>
        <w:topLinePunct/>
        <w:spacing w:line="600" w:lineRule="exact"/>
        <w:ind w:firstLine="643"/>
        <w:rPr>
          <w:rFonts w:cs="Times New Roman"/>
          <w:sz w:val="32"/>
          <w:szCs w:val="24"/>
        </w:rPr>
      </w:pPr>
      <w:r>
        <w:rPr>
          <w:rFonts w:hint="eastAsia" w:cs="Times New Roman"/>
          <w:b/>
          <w:bCs/>
          <w:sz w:val="32"/>
          <w:szCs w:val="24"/>
        </w:rPr>
        <w:t>第二条　</w:t>
      </w:r>
      <w:r>
        <w:rPr>
          <w:rFonts w:hint="eastAsia" w:cs="Times New Roman"/>
          <w:sz w:val="32"/>
          <w:szCs w:val="24"/>
        </w:rPr>
        <w:t>本办法适用于四川省行政区域内从事工业、矿业生产经营活动的土壤污染重点监管单位用地土壤和地下水的环境现状调查、环境影响评价、污染防治设施的建设和运行管理、土壤污染隐患排查、环境监测和风险评估、污染应急、风险管控和修复等活动，以及相关生态环境监督管理。</w:t>
      </w:r>
    </w:p>
    <w:p>
      <w:pPr>
        <w:overflowPunct w:val="0"/>
        <w:topLinePunct/>
        <w:spacing w:line="600" w:lineRule="exact"/>
        <w:ind w:firstLine="640"/>
        <w:rPr>
          <w:rFonts w:cs="Times New Roman"/>
          <w:sz w:val="32"/>
          <w:szCs w:val="24"/>
        </w:rPr>
      </w:pPr>
      <w:r>
        <w:rPr>
          <w:rFonts w:hint="eastAsia" w:cs="Times New Roman"/>
          <w:sz w:val="32"/>
          <w:szCs w:val="24"/>
        </w:rPr>
        <w:t>矿产开采作业区域用地，固体废物集中贮存、填埋场所用地，不适用本办法。</w:t>
      </w:r>
    </w:p>
    <w:p>
      <w:pPr>
        <w:overflowPunct w:val="0"/>
        <w:topLinePunct/>
        <w:spacing w:line="600" w:lineRule="exact"/>
        <w:ind w:firstLine="643"/>
        <w:rPr>
          <w:rFonts w:cs="Times New Roman"/>
          <w:sz w:val="32"/>
          <w:szCs w:val="24"/>
        </w:rPr>
      </w:pPr>
      <w:r>
        <w:rPr>
          <w:rFonts w:hint="eastAsia" w:cs="Times New Roman"/>
          <w:b/>
          <w:bCs/>
          <w:sz w:val="32"/>
          <w:szCs w:val="24"/>
        </w:rPr>
        <w:t>第三条　</w:t>
      </w:r>
      <w:r>
        <w:rPr>
          <w:rFonts w:hint="eastAsia" w:cs="Times New Roman"/>
          <w:sz w:val="32"/>
          <w:szCs w:val="24"/>
        </w:rPr>
        <w:t>土壤污染重点监管单位（以下简称重点监管单位）包括：</w:t>
      </w:r>
    </w:p>
    <w:p>
      <w:pPr>
        <w:overflowPunct w:val="0"/>
        <w:topLinePunct/>
        <w:spacing w:line="600" w:lineRule="exact"/>
        <w:ind w:firstLine="640"/>
        <w:rPr>
          <w:rFonts w:cs="Times New Roman"/>
          <w:sz w:val="32"/>
          <w:szCs w:val="24"/>
        </w:rPr>
      </w:pPr>
      <w:r>
        <w:rPr>
          <w:rFonts w:hint="eastAsia" w:cs="Times New Roman"/>
          <w:sz w:val="32"/>
          <w:szCs w:val="24"/>
        </w:rPr>
        <w:t>（一）有色金属矿采选、有色金属冶炼、黑色金属矿采选、黑色金属冶炼、石油开采、石油加工、化工、焦化、电镀、制革、化学制药、铅蓄电池、汽车制造、废弃电器电子产品处理、报废机动车回收拆解等行业企业；</w:t>
      </w:r>
    </w:p>
    <w:p>
      <w:pPr>
        <w:overflowPunct w:val="0"/>
        <w:topLinePunct/>
        <w:spacing w:line="600" w:lineRule="exact"/>
        <w:ind w:firstLine="640"/>
        <w:rPr>
          <w:rFonts w:cs="Times New Roman"/>
          <w:sz w:val="32"/>
          <w:szCs w:val="24"/>
        </w:rPr>
      </w:pPr>
      <w:r>
        <w:rPr>
          <w:rFonts w:hint="eastAsia" w:cs="Times New Roman"/>
          <w:sz w:val="32"/>
          <w:szCs w:val="24"/>
        </w:rPr>
        <w:t>（二）位于土壤污染潜在风险高的地块，且生产、使用、贮存、处置或者排放有毒有害物质的企业；</w:t>
      </w:r>
    </w:p>
    <w:p>
      <w:pPr>
        <w:overflowPunct w:val="0"/>
        <w:topLinePunct/>
        <w:spacing w:line="600" w:lineRule="exact"/>
        <w:ind w:firstLine="640"/>
        <w:rPr>
          <w:rFonts w:cs="Times New Roman"/>
          <w:sz w:val="32"/>
          <w:szCs w:val="24"/>
        </w:rPr>
      </w:pPr>
      <w:r>
        <w:rPr>
          <w:rFonts w:hint="eastAsia" w:cs="Times New Roman"/>
          <w:sz w:val="32"/>
          <w:szCs w:val="24"/>
        </w:rPr>
        <w:t>（三）位于耕地土壤重金属污染突出地区的涉镉排放企业；</w:t>
      </w:r>
    </w:p>
    <w:p>
      <w:pPr>
        <w:overflowPunct w:val="0"/>
        <w:topLinePunct/>
        <w:spacing w:line="600" w:lineRule="exact"/>
        <w:ind w:firstLine="640"/>
        <w:rPr>
          <w:rFonts w:cs="Times New Roman"/>
          <w:sz w:val="32"/>
          <w:szCs w:val="24"/>
        </w:rPr>
      </w:pPr>
      <w:r>
        <w:rPr>
          <w:rFonts w:hint="eastAsia" w:cs="Times New Roman"/>
          <w:sz w:val="32"/>
          <w:szCs w:val="24"/>
        </w:rPr>
        <w:t>（四）市级生态环境主管部门认定的其他企业。</w:t>
      </w:r>
    </w:p>
    <w:p>
      <w:pPr>
        <w:overflowPunct w:val="0"/>
        <w:topLinePunct/>
        <w:spacing w:line="600" w:lineRule="exact"/>
        <w:ind w:firstLine="640"/>
        <w:rPr>
          <w:rFonts w:cs="Times New Roman"/>
          <w:sz w:val="32"/>
          <w:szCs w:val="24"/>
        </w:rPr>
      </w:pPr>
      <w:r>
        <w:rPr>
          <w:rFonts w:hint="eastAsia" w:cs="Times New Roman"/>
          <w:sz w:val="32"/>
          <w:szCs w:val="24"/>
        </w:rPr>
        <w:t>重点监管单位以外的企事业单位和其他生产经营者生产经营活动涉及有毒有害物质的，其用地土壤和地下水生态环境保护相关活动及相关生态环境监督管理，可以参照本办法执行。</w:t>
      </w:r>
    </w:p>
    <w:p>
      <w:pPr>
        <w:overflowPunct w:val="0"/>
        <w:topLinePunct/>
        <w:spacing w:line="600" w:lineRule="exact"/>
        <w:ind w:firstLine="643"/>
        <w:rPr>
          <w:rFonts w:cs="Times New Roman"/>
          <w:sz w:val="32"/>
          <w:szCs w:val="24"/>
        </w:rPr>
      </w:pPr>
      <w:r>
        <w:rPr>
          <w:rFonts w:hint="eastAsia" w:cs="Times New Roman"/>
          <w:b/>
          <w:bCs/>
          <w:sz w:val="32"/>
          <w:szCs w:val="24"/>
        </w:rPr>
        <w:t>第四条　</w:t>
      </w:r>
      <w:r>
        <w:rPr>
          <w:rFonts w:hint="eastAsia" w:cs="Times New Roman"/>
          <w:sz w:val="32"/>
          <w:szCs w:val="24"/>
        </w:rPr>
        <w:t>生态环境主管部门对工矿用地土壤和地下水污染防治工作实施统一监督管理。</w:t>
      </w:r>
    </w:p>
    <w:p>
      <w:pPr>
        <w:overflowPunct w:val="0"/>
        <w:topLinePunct/>
        <w:spacing w:line="600" w:lineRule="exact"/>
        <w:ind w:firstLine="640"/>
        <w:rPr>
          <w:rFonts w:cs="Times New Roman"/>
          <w:sz w:val="32"/>
          <w:szCs w:val="24"/>
        </w:rPr>
      </w:pPr>
      <w:r>
        <w:rPr>
          <w:rFonts w:hint="eastAsia" w:cs="Times New Roman"/>
          <w:sz w:val="32"/>
          <w:szCs w:val="24"/>
        </w:rPr>
        <w:t>发展改革、经济和信息化、自然资源、住房城乡建设、应急管理等主管部门，在各自职责范围内对工矿用地土壤和地下水污染防治相关活动实施监督管理。</w:t>
      </w:r>
    </w:p>
    <w:p>
      <w:pPr>
        <w:overflowPunct w:val="0"/>
        <w:topLinePunct/>
        <w:spacing w:line="600" w:lineRule="exact"/>
        <w:ind w:firstLine="643"/>
        <w:rPr>
          <w:rFonts w:cs="Times New Roman"/>
          <w:sz w:val="32"/>
          <w:szCs w:val="24"/>
        </w:rPr>
      </w:pPr>
      <w:r>
        <w:rPr>
          <w:rFonts w:hint="eastAsia" w:cs="Times New Roman"/>
          <w:b/>
          <w:bCs/>
          <w:sz w:val="32"/>
          <w:szCs w:val="24"/>
        </w:rPr>
        <w:t>第五条　</w:t>
      </w:r>
      <w:r>
        <w:rPr>
          <w:rFonts w:hint="eastAsia" w:cs="Times New Roman"/>
          <w:sz w:val="32"/>
          <w:szCs w:val="24"/>
        </w:rPr>
        <w:t>工矿企业是工矿用地土壤和地下水生态环境保护的责任主体，应当按照本办法的规定开展相关活动。</w:t>
      </w:r>
    </w:p>
    <w:p>
      <w:pPr>
        <w:overflowPunct w:val="0"/>
        <w:topLinePunct/>
        <w:spacing w:line="600" w:lineRule="exact"/>
        <w:ind w:firstLine="640"/>
        <w:rPr>
          <w:rFonts w:cs="Times New Roman"/>
          <w:sz w:val="32"/>
          <w:szCs w:val="24"/>
        </w:rPr>
      </w:pPr>
      <w:r>
        <w:rPr>
          <w:rFonts w:hint="eastAsia" w:cs="Times New Roman"/>
          <w:sz w:val="32"/>
          <w:szCs w:val="24"/>
        </w:rPr>
        <w:t>造成工矿用地土壤和地下水污染的企业应当承担风险管控和修复的主体责任。</w:t>
      </w:r>
    </w:p>
    <w:p>
      <w:pPr>
        <w:overflowPunct w:val="0"/>
        <w:topLinePunct/>
        <w:spacing w:line="600" w:lineRule="exact"/>
        <w:ind w:firstLine="643"/>
        <w:rPr>
          <w:rFonts w:cs="Times New Roman"/>
          <w:sz w:val="32"/>
          <w:szCs w:val="24"/>
        </w:rPr>
      </w:pPr>
      <w:r>
        <w:rPr>
          <w:rFonts w:hint="eastAsia" w:cs="Times New Roman"/>
          <w:b/>
          <w:bCs/>
          <w:sz w:val="32"/>
          <w:szCs w:val="24"/>
        </w:rPr>
        <w:t>第六条</w:t>
      </w:r>
      <w:r>
        <w:rPr>
          <w:rFonts w:hint="eastAsia" w:cs="Times New Roman"/>
          <w:sz w:val="32"/>
          <w:szCs w:val="24"/>
        </w:rPr>
        <w:t>　市级生态环境主管部门根据有毒有害物质排放等情况，制定本行政区域重点监管单位名录，上传至环境监管重点单位名录信息平台和建设用地信息管理系统，向社会公开并定期更新。</w:t>
      </w:r>
    </w:p>
    <w:p>
      <w:pPr>
        <w:overflowPunct w:val="0"/>
        <w:topLinePunct/>
        <w:spacing w:line="600" w:lineRule="exact"/>
        <w:ind w:firstLine="643"/>
        <w:rPr>
          <w:rFonts w:cs="Times New Roman"/>
          <w:sz w:val="32"/>
          <w:szCs w:val="24"/>
        </w:rPr>
      </w:pPr>
      <w:r>
        <w:rPr>
          <w:rFonts w:hint="eastAsia" w:cs="Times New Roman"/>
          <w:b/>
          <w:bCs/>
          <w:sz w:val="32"/>
          <w:szCs w:val="24"/>
        </w:rPr>
        <w:t>第七条</w:t>
      </w:r>
      <w:r>
        <w:rPr>
          <w:rFonts w:hint="eastAsia" w:cs="Times New Roman"/>
          <w:sz w:val="32"/>
          <w:szCs w:val="24"/>
        </w:rPr>
        <w:t>　列入重点监管单位名录的企事业单位，在名录存续期间出现不符合本办法第三条规定情形的，市级生态环境主管部门在确定下一年度重点监管单位名录时应当予以调整。长期停产（1年内暂无恢复生产可能）的企业，市级生态环境主管部门可予以调整。</w:t>
      </w:r>
    </w:p>
    <w:p>
      <w:pPr>
        <w:overflowPunct w:val="0"/>
        <w:topLinePunct/>
        <w:spacing w:line="600" w:lineRule="exact"/>
        <w:ind w:firstLine="640"/>
        <w:rPr>
          <w:rFonts w:cs="Times New Roman"/>
          <w:sz w:val="32"/>
          <w:szCs w:val="24"/>
        </w:rPr>
      </w:pPr>
      <w:r>
        <w:rPr>
          <w:rFonts w:hint="eastAsia" w:cs="Times New Roman"/>
          <w:sz w:val="32"/>
          <w:szCs w:val="24"/>
        </w:rPr>
        <w:t>符合调整条件的重点监管单位，在名录调整前仍需履行重点监管单位土壤污染防治相关义务。</w:t>
      </w:r>
    </w:p>
    <w:p>
      <w:pPr>
        <w:overflowPunct w:val="0"/>
        <w:topLinePunct/>
        <w:spacing w:line="600" w:lineRule="exact"/>
        <w:ind w:firstLine="643"/>
        <w:rPr>
          <w:rFonts w:cs="Times New Roman"/>
          <w:sz w:val="32"/>
          <w:szCs w:val="24"/>
        </w:rPr>
      </w:pPr>
      <w:r>
        <w:rPr>
          <w:rFonts w:hint="eastAsia" w:cs="Times New Roman"/>
          <w:b/>
          <w:bCs/>
          <w:sz w:val="32"/>
          <w:szCs w:val="24"/>
        </w:rPr>
        <w:t>第八条</w:t>
      </w:r>
      <w:r>
        <w:rPr>
          <w:rFonts w:hint="eastAsia" w:cs="Times New Roman"/>
          <w:sz w:val="32"/>
          <w:szCs w:val="24"/>
        </w:rPr>
        <w:t>　重点监管单位新、改、扩建项目用地应当符合国家、省有关建设用地土壤污染风险管控标准。</w:t>
      </w:r>
    </w:p>
    <w:p>
      <w:pPr>
        <w:overflowPunct w:val="0"/>
        <w:topLinePunct/>
        <w:spacing w:line="600" w:lineRule="exact"/>
        <w:ind w:firstLine="640"/>
        <w:rPr>
          <w:rFonts w:cs="Times New Roman"/>
          <w:sz w:val="32"/>
          <w:szCs w:val="24"/>
        </w:rPr>
      </w:pPr>
      <w:r>
        <w:rPr>
          <w:rFonts w:hint="eastAsia" w:cs="Times New Roman"/>
          <w:sz w:val="32"/>
          <w:szCs w:val="24"/>
        </w:rPr>
        <w:t>重点监管单位在新、改、扩建项目土壤和地下水环境现状调查中，发现项目用地污染物含量超过有关建设用地土壤污染风险管控标准的，参照《四川省建设用地土壤环境管理办法》开展土壤污染状况调查等活动。</w:t>
      </w:r>
    </w:p>
    <w:p>
      <w:pPr>
        <w:overflowPunct w:val="0"/>
        <w:topLinePunct/>
        <w:spacing w:line="600" w:lineRule="exact"/>
        <w:ind w:firstLine="643"/>
        <w:rPr>
          <w:rFonts w:cs="Times New Roman"/>
          <w:sz w:val="32"/>
          <w:szCs w:val="24"/>
        </w:rPr>
      </w:pPr>
      <w:r>
        <w:rPr>
          <w:rFonts w:hint="eastAsia" w:cs="Times New Roman"/>
          <w:b/>
          <w:bCs/>
          <w:sz w:val="32"/>
          <w:szCs w:val="24"/>
        </w:rPr>
        <w:t>第九条　</w:t>
      </w:r>
      <w:r>
        <w:rPr>
          <w:rFonts w:hint="eastAsia" w:cs="Times New Roman"/>
          <w:sz w:val="32"/>
          <w:szCs w:val="24"/>
        </w:rPr>
        <w:t>重点监管单位应采取有效措施，严格控制生产、使用、贮存、运输、回收、处置等过程有毒有害物质排放，防止有毒有害物质渗漏、流失、扬散，避免土壤和地下水受到污染，并按年度向市级生态环境主管部门报告排放情况。</w:t>
      </w:r>
    </w:p>
    <w:p>
      <w:pPr>
        <w:overflowPunct w:val="0"/>
        <w:topLinePunct/>
        <w:spacing w:line="600" w:lineRule="exact"/>
        <w:ind w:firstLine="643"/>
        <w:rPr>
          <w:rFonts w:cs="Times New Roman"/>
          <w:sz w:val="32"/>
          <w:szCs w:val="24"/>
        </w:rPr>
      </w:pPr>
      <w:r>
        <w:rPr>
          <w:rFonts w:hint="eastAsia" w:cs="Times New Roman"/>
          <w:b/>
          <w:bCs/>
          <w:sz w:val="32"/>
          <w:szCs w:val="24"/>
        </w:rPr>
        <w:t>第十条</w:t>
      </w:r>
      <w:r>
        <w:rPr>
          <w:rFonts w:hint="eastAsia" w:cs="Times New Roman"/>
          <w:sz w:val="32"/>
          <w:szCs w:val="24"/>
        </w:rPr>
        <w:t>　重点监管单位现有地下储罐储存有毒有害物质的，信息发生变化时应当将地下储罐的信息报送市级生态环境主管部门备案。重点监管单位新、改、扩建项目地下储罐储存有毒有害物质的，应当在项目投入生产或者使用之前，将地下储罐的信息报市级生态环境主管部门备案。</w:t>
      </w:r>
    </w:p>
    <w:p>
      <w:pPr>
        <w:overflowPunct w:val="0"/>
        <w:topLinePunct/>
        <w:spacing w:line="600" w:lineRule="exact"/>
        <w:ind w:firstLine="640"/>
        <w:rPr>
          <w:rFonts w:cs="Times New Roman"/>
          <w:sz w:val="32"/>
          <w:szCs w:val="24"/>
        </w:rPr>
      </w:pPr>
      <w:r>
        <w:rPr>
          <w:rFonts w:hint="eastAsia" w:cs="Times New Roman"/>
          <w:sz w:val="32"/>
          <w:szCs w:val="24"/>
        </w:rPr>
        <w:t>地下储罐的信息包括地下储罐的使用年限、类型、规格、位置和使用情况等。</w:t>
      </w:r>
    </w:p>
    <w:p>
      <w:pPr>
        <w:overflowPunct w:val="0"/>
        <w:topLinePunct/>
        <w:spacing w:line="600" w:lineRule="exact"/>
        <w:ind w:firstLine="643"/>
        <w:rPr>
          <w:rFonts w:cs="Times New Roman"/>
          <w:sz w:val="32"/>
          <w:szCs w:val="24"/>
        </w:rPr>
      </w:pPr>
      <w:r>
        <w:rPr>
          <w:rFonts w:hint="eastAsia" w:cs="Times New Roman"/>
          <w:b/>
          <w:bCs/>
          <w:sz w:val="32"/>
          <w:szCs w:val="24"/>
        </w:rPr>
        <w:t>第十一条</w:t>
      </w:r>
      <w:r>
        <w:rPr>
          <w:rFonts w:hint="eastAsia" w:cs="Times New Roman"/>
          <w:sz w:val="32"/>
          <w:szCs w:val="24"/>
        </w:rPr>
        <w:t>　重点监管单位应当建立土壤污染隐患排查制度，每三年按照国家和省有关技术规范对重点场所、重点设施设备开展一次全面、系统的土壤污染隐患排查。新增重点监管单位应在纳入重点监管单位名录后一年内完成土壤污染隐患排查。发现污染隐患的，应当制定整改方案，及时采取技术、管理措施消除或者降低隐患。排查结束后，应当及时将土壤污染隐患排查报告报送市级生态环境主管部门和市级行业主管部门，并上传建设用地信息管理系统。土壤污染隐患排查、整改情况应当如实记录并建立档案。</w:t>
      </w:r>
    </w:p>
    <w:p>
      <w:pPr>
        <w:overflowPunct w:val="0"/>
        <w:topLinePunct/>
        <w:spacing w:line="600" w:lineRule="exact"/>
        <w:ind w:firstLine="640"/>
        <w:rPr>
          <w:rFonts w:cs="Times New Roman"/>
          <w:sz w:val="32"/>
          <w:szCs w:val="24"/>
        </w:rPr>
      </w:pPr>
      <w:r>
        <w:rPr>
          <w:rFonts w:hint="eastAsia" w:cs="Times New Roman"/>
          <w:sz w:val="32"/>
          <w:szCs w:val="24"/>
        </w:rPr>
        <w:t>重点监管单位应当开展土壤污染隐患排查情况“回头看”，确保土壤污染隐患排查工作质量，检查土壤污染隐患消除情况。</w:t>
      </w:r>
    </w:p>
    <w:p>
      <w:pPr>
        <w:overflowPunct w:val="0"/>
        <w:topLinePunct/>
        <w:spacing w:line="600" w:lineRule="exact"/>
        <w:ind w:firstLine="643"/>
        <w:rPr>
          <w:rFonts w:cs="Times New Roman"/>
          <w:sz w:val="32"/>
          <w:szCs w:val="24"/>
        </w:rPr>
      </w:pPr>
      <w:r>
        <w:rPr>
          <w:rFonts w:hint="eastAsia" w:cs="Times New Roman"/>
          <w:b/>
          <w:bCs/>
          <w:sz w:val="32"/>
          <w:szCs w:val="24"/>
        </w:rPr>
        <w:t>第十二条</w:t>
      </w:r>
      <w:r>
        <w:rPr>
          <w:rFonts w:hint="eastAsia" w:cs="Times New Roman"/>
          <w:sz w:val="32"/>
          <w:szCs w:val="24"/>
        </w:rPr>
        <w:t>　重点监管单位应当按照国家和省有关技术规范要求，自行或委托相关机构制定、实施自行监测方案，定期开展土壤和地下水监测。重点监管单位将监测数据报市级生态环境主管部门，并上传建设用地信息管理系统。</w:t>
      </w:r>
    </w:p>
    <w:p>
      <w:pPr>
        <w:overflowPunct w:val="0"/>
        <w:topLinePunct/>
        <w:spacing w:line="600" w:lineRule="exact"/>
        <w:ind w:firstLine="640"/>
        <w:rPr>
          <w:rFonts w:cs="Times New Roman"/>
          <w:sz w:val="32"/>
          <w:szCs w:val="24"/>
        </w:rPr>
      </w:pPr>
      <w:r>
        <w:rPr>
          <w:rFonts w:hint="eastAsia" w:cs="Times New Roman"/>
          <w:sz w:val="32"/>
          <w:szCs w:val="24"/>
        </w:rPr>
        <w:t>重点监管单位应当对监测数据的真实性和准确性负责。市级生态环境主管部门发现重点监管单位监测数据异常，应当及时进行调查，并督促重点监管单位整改。</w:t>
      </w:r>
    </w:p>
    <w:p>
      <w:pPr>
        <w:overflowPunct w:val="0"/>
        <w:topLinePunct/>
        <w:spacing w:line="600" w:lineRule="exact"/>
        <w:ind w:firstLine="640"/>
        <w:rPr>
          <w:rFonts w:cs="Times New Roman"/>
          <w:sz w:val="32"/>
          <w:szCs w:val="24"/>
        </w:rPr>
      </w:pPr>
      <w:r>
        <w:rPr>
          <w:rFonts w:hint="eastAsia" w:cs="Times New Roman"/>
          <w:sz w:val="32"/>
          <w:szCs w:val="24"/>
        </w:rPr>
        <w:t>市级生态环境主管部门应当定期对重点监管单位周边土壤和地下水开展监督性监测，数据及时上传建设用地信息管理系统，监测结果作为环境执法和风险预警的重要依据。</w:t>
      </w:r>
    </w:p>
    <w:p>
      <w:pPr>
        <w:overflowPunct w:val="0"/>
        <w:topLinePunct/>
        <w:spacing w:line="600" w:lineRule="exact"/>
        <w:ind w:firstLine="643"/>
        <w:rPr>
          <w:rFonts w:cs="Times New Roman"/>
          <w:sz w:val="32"/>
          <w:szCs w:val="24"/>
        </w:rPr>
      </w:pPr>
      <w:r>
        <w:rPr>
          <w:rFonts w:hint="eastAsia" w:cs="Times New Roman"/>
          <w:b/>
          <w:bCs/>
          <w:sz w:val="32"/>
          <w:szCs w:val="24"/>
        </w:rPr>
        <w:t>第十三条</w:t>
      </w:r>
      <w:r>
        <w:rPr>
          <w:rFonts w:hint="eastAsia" w:cs="Times New Roman"/>
          <w:sz w:val="32"/>
          <w:szCs w:val="24"/>
        </w:rPr>
        <w:t>　重点监管单位在土壤污染隐患排查、监测等活动中发现工矿用地土壤和地下水存在污染迹象的，应当立即排查污染源，查明污染原因，采取污染源整治、防止污染扩散等措施。</w:t>
      </w:r>
    </w:p>
    <w:p>
      <w:pPr>
        <w:overflowPunct w:val="0"/>
        <w:topLinePunct/>
        <w:spacing w:line="600" w:lineRule="exact"/>
        <w:ind w:firstLine="640"/>
        <w:rPr>
          <w:rFonts w:cs="Times New Roman"/>
          <w:sz w:val="32"/>
          <w:szCs w:val="24"/>
        </w:rPr>
      </w:pPr>
      <w:r>
        <w:rPr>
          <w:rFonts w:hint="eastAsia" w:cs="Times New Roman"/>
          <w:sz w:val="32"/>
          <w:szCs w:val="24"/>
        </w:rPr>
        <w:t>重点监管单位在土壤污染隐患排查、监测等活动中发现工矿用地土壤、地下水污染物含量超标的，参照《四川省在产企业土壤污染状况详细调查和风险管控工作指南》开展详细调查和风险管控，消除或管控土壤污染。风险管控工程完成后，参照《四川省在产企业土壤污染风险管控效果评估工作指南》，综合评估地块风险管控是否达到规定要求或地块风险是否达到可接受水平。</w:t>
      </w:r>
    </w:p>
    <w:p>
      <w:pPr>
        <w:overflowPunct w:val="0"/>
        <w:topLinePunct/>
        <w:spacing w:line="600" w:lineRule="exact"/>
        <w:ind w:firstLine="640"/>
        <w:rPr>
          <w:rFonts w:cs="Times New Roman"/>
          <w:sz w:val="32"/>
          <w:szCs w:val="24"/>
        </w:rPr>
      </w:pPr>
      <w:r>
        <w:rPr>
          <w:rFonts w:hint="eastAsia" w:cs="Times New Roman"/>
          <w:sz w:val="32"/>
          <w:szCs w:val="24"/>
        </w:rPr>
        <w:t>详细调查报告和效果评估报告报市级生态环境主管部门，并上传建设用地信息管理系统。</w:t>
      </w:r>
    </w:p>
    <w:p>
      <w:pPr>
        <w:overflowPunct w:val="0"/>
        <w:topLinePunct/>
        <w:spacing w:line="600" w:lineRule="exact"/>
        <w:ind w:firstLine="643"/>
        <w:rPr>
          <w:rFonts w:cs="Times New Roman"/>
          <w:sz w:val="32"/>
          <w:szCs w:val="24"/>
        </w:rPr>
      </w:pPr>
      <w:r>
        <w:rPr>
          <w:rFonts w:hint="eastAsia" w:cs="Times New Roman"/>
          <w:b/>
          <w:bCs/>
          <w:sz w:val="32"/>
          <w:szCs w:val="24"/>
        </w:rPr>
        <w:t>第十四条</w:t>
      </w:r>
      <w:r>
        <w:rPr>
          <w:rFonts w:hint="eastAsia" w:cs="Times New Roman"/>
          <w:sz w:val="32"/>
          <w:szCs w:val="24"/>
        </w:rPr>
        <w:t>　重点监管单位拆除设施、设备或者建筑物、构筑物的，应当制定拆除活动土壤和地下水污染防治工作方案，并在拆除活动前15个工作日报市级生态环境、经济和信息化等主管部门备案，并上传建设用地信息管理系统。</w:t>
      </w:r>
    </w:p>
    <w:p>
      <w:pPr>
        <w:overflowPunct w:val="0"/>
        <w:topLinePunct/>
        <w:spacing w:line="600" w:lineRule="exact"/>
        <w:ind w:firstLine="640"/>
        <w:rPr>
          <w:rFonts w:cs="Times New Roman"/>
          <w:sz w:val="32"/>
          <w:szCs w:val="24"/>
        </w:rPr>
      </w:pPr>
      <w:r>
        <w:rPr>
          <w:rFonts w:hint="eastAsia" w:cs="Times New Roman"/>
          <w:sz w:val="32"/>
          <w:szCs w:val="24"/>
        </w:rPr>
        <w:t>企业拆除活动土壤和地下水污染防治工作方案应当包括被拆除设施、设备或者建筑物、构筑物的基本情况，拆除活动全过程土壤污染防治的技术要求，残留物料、污染物、污染设施和设备的安全处置以及应急措施，对周边环境的污染防治要求等内容。</w:t>
      </w:r>
    </w:p>
    <w:p>
      <w:pPr>
        <w:overflowPunct w:val="0"/>
        <w:topLinePunct/>
        <w:spacing w:line="600" w:lineRule="exact"/>
        <w:ind w:firstLine="640"/>
        <w:rPr>
          <w:rFonts w:cs="Times New Roman"/>
          <w:sz w:val="32"/>
          <w:szCs w:val="24"/>
        </w:rPr>
      </w:pPr>
      <w:r>
        <w:rPr>
          <w:rFonts w:hint="eastAsia" w:cs="Times New Roman"/>
          <w:sz w:val="32"/>
          <w:szCs w:val="24"/>
        </w:rPr>
        <w:t>重点监管单位拆除活动中应当严格按照有关规定实施残留物料和污染物、污染设备和设施的安全处理处置，并做好拆除活动相关记录，防范拆除活动污染土壤和地下水。拆除活动相关记录应当长期保存，并报市级生态环境、经济和信息化等主管部门备案，为后续土壤污染状况调查评估提供基础信息和依据。</w:t>
      </w:r>
    </w:p>
    <w:p>
      <w:pPr>
        <w:overflowPunct w:val="0"/>
        <w:topLinePunct/>
        <w:spacing w:line="600" w:lineRule="exact"/>
        <w:ind w:firstLine="643"/>
        <w:rPr>
          <w:rFonts w:cs="Times New Roman"/>
          <w:sz w:val="32"/>
          <w:szCs w:val="24"/>
        </w:rPr>
      </w:pPr>
      <w:r>
        <w:rPr>
          <w:rFonts w:hint="eastAsia" w:cs="Times New Roman"/>
          <w:b/>
          <w:bCs/>
          <w:sz w:val="32"/>
          <w:szCs w:val="24"/>
        </w:rPr>
        <w:t>第十五条</w:t>
      </w:r>
      <w:r>
        <w:rPr>
          <w:rFonts w:hint="eastAsia" w:cs="Times New Roman"/>
          <w:sz w:val="32"/>
          <w:szCs w:val="24"/>
        </w:rPr>
        <w:t>　重点监管单位突发环境事件应急预案应当包括防止土壤和地下水污染相关内容。</w:t>
      </w:r>
    </w:p>
    <w:p>
      <w:pPr>
        <w:overflowPunct w:val="0"/>
        <w:topLinePunct/>
        <w:spacing w:line="600" w:lineRule="exact"/>
        <w:ind w:firstLine="640"/>
        <w:rPr>
          <w:rFonts w:cs="Times New Roman"/>
          <w:sz w:val="32"/>
          <w:szCs w:val="24"/>
        </w:rPr>
      </w:pPr>
      <w:r>
        <w:rPr>
          <w:rFonts w:hint="eastAsia" w:cs="Times New Roman"/>
          <w:sz w:val="32"/>
          <w:szCs w:val="24"/>
        </w:rPr>
        <w:t>重点监管单位突发环境事件造成或者可能造成土壤和地下水污染的，应当采取应急措施避免或者减少土壤和地下水污染；应急处置结束后，应当立即组织开展环境影响和损害评估工作，评估认为需要开展风险管控或修复的，应当制定并落实受污染土壤和地下水风险管控或修复方案。应急处置情况及相关方案应当及时报市级生态环境主管部门。</w:t>
      </w:r>
    </w:p>
    <w:p>
      <w:pPr>
        <w:overflowPunct w:val="0"/>
        <w:topLinePunct/>
        <w:spacing w:line="600" w:lineRule="exact"/>
        <w:ind w:firstLine="643"/>
        <w:rPr>
          <w:rFonts w:cs="Times New Roman"/>
          <w:sz w:val="32"/>
          <w:szCs w:val="24"/>
        </w:rPr>
      </w:pPr>
      <w:r>
        <w:rPr>
          <w:rFonts w:hint="eastAsia" w:cs="Times New Roman"/>
          <w:b/>
          <w:bCs/>
          <w:sz w:val="32"/>
          <w:szCs w:val="24"/>
        </w:rPr>
        <w:t>第十六条</w:t>
      </w:r>
      <w:r>
        <w:rPr>
          <w:rFonts w:hint="eastAsia" w:cs="Times New Roman"/>
          <w:sz w:val="32"/>
          <w:szCs w:val="24"/>
        </w:rPr>
        <w:t>　重点监管单位（包含曾纳入重点监管单位名录的企业）终止生产经营活动前，应当参照《四川省建设用地土壤环境管理办法》开展土壤污染状况调查等活动。</w:t>
      </w:r>
    </w:p>
    <w:p>
      <w:pPr>
        <w:overflowPunct w:val="0"/>
        <w:topLinePunct/>
        <w:spacing w:line="600" w:lineRule="exact"/>
        <w:ind w:firstLine="643"/>
        <w:rPr>
          <w:rFonts w:cs="Times New Roman"/>
          <w:sz w:val="32"/>
          <w:szCs w:val="24"/>
        </w:rPr>
      </w:pPr>
      <w:r>
        <w:rPr>
          <w:rFonts w:hint="eastAsia" w:cs="Times New Roman"/>
          <w:b/>
          <w:bCs/>
          <w:sz w:val="32"/>
          <w:szCs w:val="24"/>
        </w:rPr>
        <w:t>第十七条</w:t>
      </w:r>
      <w:r>
        <w:rPr>
          <w:rFonts w:hint="eastAsia" w:cs="Times New Roman"/>
          <w:sz w:val="32"/>
          <w:szCs w:val="24"/>
        </w:rPr>
        <w:t>　涉重金属重点监管单位应当遵守排污许可管理规定，落实重金属污染物排放总量控制制度，依法开展强制性清洁生产审核。</w:t>
      </w:r>
    </w:p>
    <w:p>
      <w:pPr>
        <w:overflowPunct w:val="0"/>
        <w:topLinePunct/>
        <w:spacing w:line="600" w:lineRule="exact"/>
        <w:ind w:firstLine="640"/>
        <w:rPr>
          <w:rFonts w:cs="Times New Roman"/>
          <w:sz w:val="32"/>
          <w:szCs w:val="24"/>
        </w:rPr>
      </w:pPr>
      <w:r>
        <w:rPr>
          <w:rFonts w:hint="eastAsia" w:cs="Times New Roman"/>
          <w:sz w:val="32"/>
          <w:szCs w:val="24"/>
        </w:rPr>
        <w:t>矿产资源开发活动集中区域、耕地安全利用和严格管控任务较重区域，应当执行《铅、锌工业污染物排放标准》《铜、镍、钴工业污染物排放标准》《无机化学工业污染物排放标准》中颗粒物和镉等重点重金属污染物特别排放限值。</w:t>
      </w:r>
    </w:p>
    <w:p>
      <w:pPr>
        <w:overflowPunct w:val="0"/>
        <w:topLinePunct/>
        <w:spacing w:line="600" w:lineRule="exact"/>
        <w:ind w:firstLine="643"/>
        <w:rPr>
          <w:rFonts w:cs="Times New Roman"/>
          <w:sz w:val="32"/>
          <w:szCs w:val="24"/>
        </w:rPr>
      </w:pPr>
      <w:r>
        <w:rPr>
          <w:rFonts w:hint="eastAsia" w:cs="Times New Roman"/>
          <w:b/>
          <w:bCs/>
          <w:sz w:val="32"/>
          <w:szCs w:val="24"/>
        </w:rPr>
        <w:t>第十八条</w:t>
      </w:r>
      <w:r>
        <w:rPr>
          <w:rFonts w:hint="eastAsia" w:cs="Times New Roman"/>
          <w:sz w:val="32"/>
          <w:szCs w:val="24"/>
        </w:rPr>
        <w:t>　重点监管单位涉及尾矿库的，其运营、管理单位应当按照《尾矿污染环境防治管理办法》开展土壤污染防治相关工作。</w:t>
      </w:r>
    </w:p>
    <w:p>
      <w:pPr>
        <w:overflowPunct w:val="0"/>
        <w:topLinePunct/>
        <w:spacing w:line="600" w:lineRule="exact"/>
        <w:ind w:firstLine="643"/>
        <w:rPr>
          <w:rFonts w:cs="Times New Roman"/>
          <w:sz w:val="32"/>
          <w:szCs w:val="24"/>
        </w:rPr>
      </w:pPr>
      <w:r>
        <w:rPr>
          <w:rFonts w:hint="eastAsia" w:cs="Times New Roman"/>
          <w:b/>
          <w:bCs/>
          <w:sz w:val="32"/>
          <w:szCs w:val="24"/>
        </w:rPr>
        <w:t>第十九条</w:t>
      </w:r>
      <w:r>
        <w:rPr>
          <w:rFonts w:hint="eastAsia" w:cs="Times New Roman"/>
          <w:sz w:val="32"/>
          <w:szCs w:val="24"/>
        </w:rPr>
        <w:t>　工业园区等产业集聚区应当建立大气、地表水、土壤和地下水污染协同预防预警机制，定期开展土壤污染隐患排查整改，有效管控园区土壤环境风险。</w:t>
      </w:r>
    </w:p>
    <w:p>
      <w:pPr>
        <w:overflowPunct w:val="0"/>
        <w:topLinePunct/>
        <w:spacing w:line="600" w:lineRule="exact"/>
        <w:ind w:firstLine="640"/>
        <w:rPr>
          <w:rFonts w:cs="Times New Roman"/>
          <w:sz w:val="32"/>
          <w:szCs w:val="24"/>
        </w:rPr>
      </w:pPr>
      <w:r>
        <w:rPr>
          <w:rFonts w:hint="eastAsia" w:cs="Times New Roman"/>
          <w:sz w:val="32"/>
          <w:szCs w:val="24"/>
        </w:rPr>
        <w:t>市级生态环境主管部门应当会同有关部门定期对产业集聚区周边土壤和地下水开展监督性监测，数据及时上传建设用地信息管理系统，监测结果作为环境执法和风险预警的重要依据。</w:t>
      </w:r>
    </w:p>
    <w:p>
      <w:pPr>
        <w:overflowPunct w:val="0"/>
        <w:topLinePunct/>
        <w:spacing w:line="600" w:lineRule="exact"/>
        <w:ind w:firstLine="643"/>
        <w:rPr>
          <w:rFonts w:cs="Times New Roman"/>
          <w:sz w:val="32"/>
          <w:szCs w:val="24"/>
        </w:rPr>
      </w:pPr>
      <w:r>
        <w:rPr>
          <w:rFonts w:hint="eastAsia" w:cs="Times New Roman"/>
          <w:b/>
          <w:bCs/>
          <w:sz w:val="32"/>
          <w:szCs w:val="24"/>
        </w:rPr>
        <w:t>第二十条</w:t>
      </w:r>
      <w:r>
        <w:rPr>
          <w:rFonts w:hint="eastAsia" w:cs="Times New Roman"/>
          <w:sz w:val="32"/>
          <w:szCs w:val="24"/>
        </w:rPr>
        <w:t>　市级生态环境主管部门对重点监管单位、产业集聚区的监督性监测中，发现异常监测数据的，要求有关单位及时采取相应整改措施；发现土壤、地下水污染物已经扩散的，责令其采取污染源整治、污染物隔离、阻断等环境风险管控措施。有关信息及时报上级生态环境主管部门，并上传建设用地信息管理系统。</w:t>
      </w:r>
    </w:p>
    <w:p>
      <w:pPr>
        <w:overflowPunct w:val="0"/>
        <w:topLinePunct/>
        <w:spacing w:line="600" w:lineRule="exact"/>
        <w:ind w:firstLine="643"/>
        <w:rPr>
          <w:rFonts w:cs="Times New Roman"/>
          <w:sz w:val="32"/>
          <w:szCs w:val="24"/>
        </w:rPr>
      </w:pPr>
      <w:r>
        <w:rPr>
          <w:rFonts w:hint="eastAsia" w:cs="Times New Roman"/>
          <w:b/>
          <w:bCs/>
          <w:sz w:val="32"/>
          <w:szCs w:val="24"/>
        </w:rPr>
        <w:t>第二十一条</w:t>
      </w:r>
      <w:r>
        <w:rPr>
          <w:rFonts w:hint="eastAsia" w:cs="Times New Roman"/>
          <w:sz w:val="32"/>
          <w:szCs w:val="24"/>
        </w:rPr>
        <w:t>　生态环境主管部门应当定期组织对重点监管单位主要负责人和土壤污染防治管理人员开展土壤污染防治业务培训。</w:t>
      </w:r>
    </w:p>
    <w:p>
      <w:pPr>
        <w:overflowPunct w:val="0"/>
        <w:topLinePunct/>
        <w:spacing w:line="600" w:lineRule="exact"/>
        <w:ind w:firstLine="643"/>
        <w:rPr>
          <w:rFonts w:cs="Times New Roman"/>
          <w:sz w:val="32"/>
          <w:szCs w:val="24"/>
        </w:rPr>
      </w:pPr>
      <w:r>
        <w:rPr>
          <w:rFonts w:hint="eastAsia" w:cs="Times New Roman"/>
          <w:b/>
          <w:bCs/>
          <w:sz w:val="32"/>
          <w:szCs w:val="24"/>
        </w:rPr>
        <w:t>第二十二条</w:t>
      </w:r>
      <w:r>
        <w:rPr>
          <w:rFonts w:hint="eastAsia" w:cs="Times New Roman"/>
          <w:sz w:val="32"/>
          <w:szCs w:val="24"/>
        </w:rPr>
        <w:t>　生态环境等负有土壤污染防治监督管理职责的部门有权对本行政区域内的重点监管单位进行现场检查。被检查单位应当予以配合，如实反映情况，提供必要的资料。实施现场检查的部门、机构及其工作人员应当为被检查单位保守商业秘密。</w:t>
      </w:r>
    </w:p>
    <w:p>
      <w:pPr>
        <w:overflowPunct w:val="0"/>
        <w:topLinePunct/>
        <w:spacing w:line="600" w:lineRule="exact"/>
        <w:ind w:firstLine="643"/>
        <w:rPr>
          <w:rFonts w:cs="Times New Roman"/>
          <w:sz w:val="32"/>
          <w:szCs w:val="24"/>
        </w:rPr>
      </w:pPr>
      <w:r>
        <w:rPr>
          <w:rFonts w:hint="eastAsia" w:cs="Times New Roman"/>
          <w:b/>
          <w:bCs/>
          <w:sz w:val="32"/>
          <w:szCs w:val="24"/>
        </w:rPr>
        <w:t>第二十三条</w:t>
      </w:r>
      <w:r>
        <w:rPr>
          <w:rFonts w:hint="eastAsia" w:cs="Times New Roman"/>
          <w:sz w:val="32"/>
          <w:szCs w:val="24"/>
        </w:rPr>
        <w:t>　生态环境等负有土壤污染防治监督管理职责的部门对重点监管单位进行监督检查时，有权采取下列措施：</w:t>
      </w:r>
    </w:p>
    <w:p>
      <w:pPr>
        <w:overflowPunct w:val="0"/>
        <w:topLinePunct/>
        <w:spacing w:line="600" w:lineRule="exact"/>
        <w:ind w:firstLine="640"/>
        <w:rPr>
          <w:rFonts w:cs="Times New Roman"/>
          <w:sz w:val="32"/>
          <w:szCs w:val="24"/>
        </w:rPr>
      </w:pPr>
      <w:r>
        <w:rPr>
          <w:rFonts w:hint="eastAsia" w:cs="Times New Roman"/>
          <w:sz w:val="32"/>
          <w:szCs w:val="24"/>
        </w:rPr>
        <w:t>（一）向被检查单位调查、了解工矿用地的有关情况；</w:t>
      </w:r>
    </w:p>
    <w:p>
      <w:pPr>
        <w:overflowPunct w:val="0"/>
        <w:topLinePunct/>
        <w:spacing w:line="600" w:lineRule="exact"/>
        <w:ind w:firstLine="640"/>
        <w:rPr>
          <w:rFonts w:cs="Times New Roman"/>
          <w:sz w:val="32"/>
          <w:szCs w:val="24"/>
        </w:rPr>
      </w:pPr>
      <w:r>
        <w:rPr>
          <w:rFonts w:hint="eastAsia" w:cs="Times New Roman"/>
          <w:sz w:val="32"/>
          <w:szCs w:val="24"/>
        </w:rPr>
        <w:t>（二）进入被检查单位进行现场核查或者监测；</w:t>
      </w:r>
    </w:p>
    <w:p>
      <w:pPr>
        <w:overflowPunct w:val="0"/>
        <w:topLinePunct/>
        <w:spacing w:line="600" w:lineRule="exact"/>
        <w:ind w:firstLine="640"/>
        <w:rPr>
          <w:rFonts w:cs="Times New Roman"/>
          <w:sz w:val="32"/>
          <w:szCs w:val="24"/>
        </w:rPr>
      </w:pPr>
      <w:r>
        <w:rPr>
          <w:rFonts w:hint="eastAsia" w:cs="Times New Roman"/>
          <w:sz w:val="32"/>
          <w:szCs w:val="24"/>
        </w:rPr>
        <w:t>（三）查阅、复制相关文件、记录以及其他有关资料；</w:t>
      </w:r>
    </w:p>
    <w:p>
      <w:pPr>
        <w:overflowPunct w:val="0"/>
        <w:topLinePunct/>
        <w:spacing w:line="600" w:lineRule="exact"/>
        <w:ind w:firstLine="640"/>
        <w:rPr>
          <w:rFonts w:cs="Times New Roman"/>
          <w:sz w:val="32"/>
          <w:szCs w:val="24"/>
        </w:rPr>
      </w:pPr>
      <w:r>
        <w:rPr>
          <w:rFonts w:hint="eastAsia" w:cs="Times New Roman"/>
          <w:sz w:val="32"/>
          <w:szCs w:val="24"/>
        </w:rPr>
        <w:t>（四）要求被检查单位提交有关情况说明。</w:t>
      </w:r>
    </w:p>
    <w:p>
      <w:pPr>
        <w:overflowPunct w:val="0"/>
        <w:topLinePunct/>
        <w:spacing w:line="600" w:lineRule="exact"/>
        <w:ind w:firstLine="643"/>
        <w:rPr>
          <w:rFonts w:cs="Times New Roman"/>
          <w:sz w:val="32"/>
          <w:szCs w:val="24"/>
        </w:rPr>
      </w:pPr>
      <w:r>
        <w:rPr>
          <w:rFonts w:hint="eastAsia" w:cs="Times New Roman"/>
          <w:b/>
          <w:bCs/>
          <w:sz w:val="32"/>
          <w:szCs w:val="24"/>
        </w:rPr>
        <w:t>第二十四条</w:t>
      </w:r>
      <w:r>
        <w:rPr>
          <w:rFonts w:hint="eastAsia" w:cs="Times New Roman"/>
          <w:sz w:val="32"/>
          <w:szCs w:val="24"/>
        </w:rPr>
        <w:t>　生态环境主管部门应当加强重点监管单位监督管理，对土壤污染隐患排查和自行监测进行“回头看”，对土壤污染隐患排查报告、自行监测报告、超标企业详细调查报告和效果评估报告进行抽查，对报告质量不符合要求的责令相关单位整改。</w:t>
      </w:r>
    </w:p>
    <w:p>
      <w:pPr>
        <w:overflowPunct w:val="0"/>
        <w:topLinePunct/>
        <w:spacing w:line="600" w:lineRule="exact"/>
        <w:ind w:firstLine="643"/>
        <w:rPr>
          <w:rFonts w:cs="Times New Roman"/>
          <w:sz w:val="32"/>
          <w:szCs w:val="24"/>
        </w:rPr>
      </w:pPr>
      <w:r>
        <w:rPr>
          <w:rFonts w:hint="eastAsia" w:cs="Times New Roman"/>
          <w:b/>
          <w:bCs/>
          <w:sz w:val="32"/>
          <w:szCs w:val="24"/>
        </w:rPr>
        <w:t>第二十五条</w:t>
      </w:r>
      <w:r>
        <w:rPr>
          <w:rFonts w:hint="eastAsia" w:cs="Times New Roman"/>
          <w:sz w:val="32"/>
          <w:szCs w:val="24"/>
        </w:rPr>
        <w:t>　违反本办法规定，重点监管单位未按要求开展自行监测、土壤污染隐患排查、设施设备拆除等工作的，由生态环境主管部门或者其他负有土壤污染防治监督管理职责的部门依照相关法律法规查处。</w:t>
      </w:r>
    </w:p>
    <w:p>
      <w:pPr>
        <w:overflowPunct w:val="0"/>
        <w:topLinePunct/>
        <w:spacing w:line="600" w:lineRule="exact"/>
        <w:ind w:firstLine="643"/>
        <w:rPr>
          <w:rFonts w:cs="Times New Roman"/>
          <w:sz w:val="32"/>
          <w:szCs w:val="24"/>
        </w:rPr>
      </w:pPr>
      <w:r>
        <w:rPr>
          <w:rFonts w:hint="eastAsia" w:cs="Times New Roman"/>
          <w:b/>
          <w:bCs/>
          <w:sz w:val="32"/>
          <w:szCs w:val="24"/>
        </w:rPr>
        <w:t>第二十六条</w:t>
      </w:r>
      <w:r>
        <w:rPr>
          <w:rFonts w:hint="eastAsia" w:cs="Times New Roman"/>
          <w:sz w:val="32"/>
          <w:szCs w:val="24"/>
        </w:rPr>
        <w:t>　本办法所称的下列用语的含义：</w:t>
      </w:r>
    </w:p>
    <w:p>
      <w:pPr>
        <w:overflowPunct w:val="0"/>
        <w:topLinePunct/>
        <w:spacing w:line="600" w:lineRule="exact"/>
        <w:ind w:firstLine="640"/>
        <w:rPr>
          <w:rFonts w:cs="Times New Roman"/>
          <w:sz w:val="32"/>
          <w:szCs w:val="24"/>
        </w:rPr>
      </w:pPr>
      <w:r>
        <w:rPr>
          <w:rFonts w:hint="eastAsia" w:cs="Times New Roman"/>
          <w:sz w:val="32"/>
          <w:szCs w:val="24"/>
        </w:rPr>
        <w:t>（一）矿产开采作业区域用地，指露天采矿区用地、排土场等与矿业开采作业直接相关的用地。</w:t>
      </w:r>
    </w:p>
    <w:p>
      <w:pPr>
        <w:overflowPunct w:val="0"/>
        <w:topLinePunct/>
        <w:spacing w:line="600" w:lineRule="exact"/>
        <w:ind w:firstLine="640"/>
        <w:rPr>
          <w:rFonts w:cs="Times New Roman"/>
          <w:sz w:val="32"/>
          <w:szCs w:val="24"/>
        </w:rPr>
      </w:pPr>
      <w:r>
        <w:rPr>
          <w:rFonts w:hint="eastAsia" w:cs="Times New Roman"/>
          <w:sz w:val="32"/>
          <w:szCs w:val="24"/>
        </w:rPr>
        <w:t>（二）有毒有害物质，是指下列物质：</w:t>
      </w:r>
    </w:p>
    <w:p>
      <w:pPr>
        <w:overflowPunct w:val="0"/>
        <w:topLinePunct/>
        <w:spacing w:line="600" w:lineRule="exact"/>
        <w:ind w:firstLine="640"/>
        <w:rPr>
          <w:rFonts w:cs="Times New Roman"/>
          <w:sz w:val="32"/>
          <w:szCs w:val="24"/>
        </w:rPr>
      </w:pPr>
      <w:r>
        <w:rPr>
          <w:rFonts w:hint="eastAsia" w:cs="Times New Roman"/>
          <w:sz w:val="32"/>
          <w:szCs w:val="24"/>
        </w:rPr>
        <w:t>1．列入《中华人民共和国水污染防治法》规定的有毒有害水污染物名录的污染物；</w:t>
      </w:r>
    </w:p>
    <w:p>
      <w:pPr>
        <w:overflowPunct w:val="0"/>
        <w:topLinePunct/>
        <w:spacing w:line="600" w:lineRule="exact"/>
        <w:ind w:firstLine="640"/>
        <w:rPr>
          <w:rFonts w:cs="Times New Roman"/>
          <w:sz w:val="32"/>
          <w:szCs w:val="24"/>
        </w:rPr>
      </w:pPr>
      <w:r>
        <w:rPr>
          <w:rFonts w:hint="eastAsia" w:cs="Times New Roman"/>
          <w:sz w:val="32"/>
          <w:szCs w:val="24"/>
        </w:rPr>
        <w:t>2．列入《中华人民共和国大气污染防治法》规定的有毒有害大气污染物名录的污染物；</w:t>
      </w:r>
    </w:p>
    <w:p>
      <w:pPr>
        <w:overflowPunct w:val="0"/>
        <w:topLinePunct/>
        <w:spacing w:line="600" w:lineRule="exact"/>
        <w:ind w:firstLine="640"/>
        <w:rPr>
          <w:rFonts w:cs="Times New Roman"/>
          <w:sz w:val="32"/>
          <w:szCs w:val="24"/>
        </w:rPr>
      </w:pPr>
      <w:r>
        <w:rPr>
          <w:rFonts w:hint="eastAsia" w:cs="Times New Roman"/>
          <w:sz w:val="32"/>
          <w:szCs w:val="24"/>
        </w:rPr>
        <w:t>3．《中华人民共和国固体废物污染环境防治法》规定的危险废物；</w:t>
      </w:r>
    </w:p>
    <w:p>
      <w:pPr>
        <w:overflowPunct w:val="0"/>
        <w:topLinePunct/>
        <w:spacing w:line="600" w:lineRule="exact"/>
        <w:ind w:firstLine="640"/>
        <w:rPr>
          <w:rFonts w:cs="Times New Roman"/>
          <w:sz w:val="32"/>
          <w:szCs w:val="24"/>
        </w:rPr>
      </w:pPr>
      <w:r>
        <w:rPr>
          <w:rFonts w:hint="eastAsia" w:cs="Times New Roman"/>
          <w:sz w:val="32"/>
          <w:szCs w:val="24"/>
        </w:rPr>
        <w:t>4．国家、省建设用地土壤污染风险管控标准管控的污染物；</w:t>
      </w:r>
    </w:p>
    <w:p>
      <w:pPr>
        <w:overflowPunct w:val="0"/>
        <w:topLinePunct/>
        <w:spacing w:line="600" w:lineRule="exact"/>
        <w:ind w:firstLine="640"/>
        <w:rPr>
          <w:rFonts w:cs="Times New Roman"/>
          <w:sz w:val="32"/>
          <w:szCs w:val="24"/>
        </w:rPr>
      </w:pPr>
      <w:r>
        <w:rPr>
          <w:rFonts w:hint="eastAsia" w:cs="Times New Roman"/>
          <w:sz w:val="32"/>
          <w:szCs w:val="24"/>
        </w:rPr>
        <w:t>5．列入优先控制化学品名录内的物质；</w:t>
      </w:r>
    </w:p>
    <w:p>
      <w:pPr>
        <w:overflowPunct w:val="0"/>
        <w:topLinePunct/>
        <w:spacing w:line="600" w:lineRule="exact"/>
        <w:ind w:firstLine="640"/>
        <w:rPr>
          <w:rFonts w:cs="Times New Roman"/>
          <w:sz w:val="32"/>
          <w:szCs w:val="24"/>
        </w:rPr>
      </w:pPr>
      <w:r>
        <w:rPr>
          <w:rFonts w:hint="eastAsia" w:cs="Times New Roman"/>
          <w:sz w:val="32"/>
          <w:szCs w:val="24"/>
        </w:rPr>
        <w:t>6．其他根据国家法律法规有关规定应当纳入有毒有害物质管理的物质。</w:t>
      </w:r>
    </w:p>
    <w:p>
      <w:pPr>
        <w:overflowPunct w:val="0"/>
        <w:topLinePunct/>
        <w:spacing w:line="600" w:lineRule="exact"/>
        <w:ind w:firstLine="640"/>
        <w:rPr>
          <w:rFonts w:cs="Times New Roman"/>
          <w:sz w:val="32"/>
          <w:szCs w:val="24"/>
        </w:rPr>
      </w:pPr>
      <w:r>
        <w:rPr>
          <w:rFonts w:hint="eastAsia" w:cs="Times New Roman"/>
          <w:sz w:val="32"/>
          <w:szCs w:val="24"/>
        </w:rPr>
        <w:t>（三）土壤和地下水环境现状调查，对重点监管单位新、改、扩建项目用地的土壤和地下水环境质量进行的调查评估，其主要调查内容包括土壤和地下水中主要污染物的含量等。</w:t>
      </w:r>
    </w:p>
    <w:p>
      <w:pPr>
        <w:overflowPunct w:val="0"/>
        <w:topLinePunct/>
        <w:spacing w:line="600" w:lineRule="exact"/>
        <w:ind w:firstLine="640"/>
        <w:rPr>
          <w:rFonts w:cs="Times New Roman"/>
          <w:sz w:val="32"/>
          <w:szCs w:val="24"/>
        </w:rPr>
      </w:pPr>
      <w:r>
        <w:rPr>
          <w:rFonts w:hint="eastAsia" w:cs="Times New Roman"/>
          <w:sz w:val="32"/>
          <w:szCs w:val="24"/>
        </w:rPr>
        <w:t>（四）土壤和地下水污染隐患，指相关设施设备因设计、建设、运行管理等不完善，而导致相关有毒有害物质泄漏、渗漏、溢出等污染土壤和地下水的隐患。</w:t>
      </w:r>
    </w:p>
    <w:p>
      <w:pPr>
        <w:overflowPunct w:val="0"/>
        <w:topLinePunct/>
        <w:spacing w:line="600" w:lineRule="exact"/>
        <w:ind w:firstLine="640"/>
        <w:rPr>
          <w:rFonts w:cs="Times New Roman"/>
          <w:sz w:val="32"/>
          <w:szCs w:val="24"/>
        </w:rPr>
      </w:pPr>
      <w:r>
        <w:rPr>
          <w:rFonts w:hint="eastAsia" w:cs="Times New Roman"/>
          <w:sz w:val="32"/>
          <w:szCs w:val="24"/>
        </w:rPr>
        <w:t>（五）土壤和地下水污染迹象，指通过现场检查和土壤污染隐患排查发现有毒有害物质泄漏或者疑似泄漏，或者通过土壤和地下水环境监测发现土壤或者地下水中污染物含量升高的现象。</w:t>
      </w:r>
    </w:p>
    <w:p>
      <w:pPr>
        <w:overflowPunct w:val="0"/>
        <w:topLinePunct/>
        <w:spacing w:line="600" w:lineRule="exact"/>
        <w:ind w:firstLine="643"/>
        <w:rPr>
          <w:rFonts w:cs="Times New Roman"/>
          <w:sz w:val="32"/>
          <w:szCs w:val="24"/>
        </w:rPr>
      </w:pPr>
      <w:r>
        <w:rPr>
          <w:rFonts w:hint="eastAsia" w:cs="Times New Roman"/>
          <w:b/>
          <w:bCs/>
          <w:sz w:val="32"/>
          <w:szCs w:val="24"/>
        </w:rPr>
        <w:t>第二十七条</w:t>
      </w:r>
      <w:r>
        <w:rPr>
          <w:rFonts w:hint="eastAsia" w:cs="Times New Roman"/>
          <w:sz w:val="32"/>
          <w:szCs w:val="24"/>
        </w:rPr>
        <w:t>　本办法自2024年2月1日起施行，有效期5年。四川省生态环境厅 四川省经济和信息化厅 四川省自然资源厅《关于印发〈四川省工矿用地土壤环境管理办法〉的通知》（川环发〔2018〕88号）同时废止。</w:t>
      </w:r>
    </w:p>
    <w:p>
      <w:pPr>
        <w:widowControl/>
        <w:ind w:firstLine="0" w:firstLineChars="0"/>
        <w:jc w:val="left"/>
        <w:rPr>
          <w:rFonts w:cs="Times New Roman"/>
          <w:b/>
          <w:sz w:val="44"/>
          <w:szCs w:val="44"/>
        </w:rPr>
      </w:pPr>
      <w:r>
        <w:rPr>
          <w:rFonts w:cs="Times New Roman"/>
          <w:b/>
          <w:sz w:val="44"/>
          <w:szCs w:val="44"/>
        </w:rPr>
        <mc:AlternateContent>
          <mc:Choice Requires="wps">
            <w:drawing>
              <wp:anchor distT="0" distB="0" distL="114300" distR="114300" simplePos="0" relativeHeight="251658240" behindDoc="0" locked="0" layoutInCell="1" allowOverlap="1">
                <wp:simplePos x="0" y="0"/>
                <wp:positionH relativeFrom="column">
                  <wp:posOffset>4535170</wp:posOffset>
                </wp:positionH>
                <wp:positionV relativeFrom="paragraph">
                  <wp:posOffset>8089900</wp:posOffset>
                </wp:positionV>
                <wp:extent cx="1066800" cy="476250"/>
                <wp:effectExtent l="5080" t="4445" r="13970" b="14605"/>
                <wp:wrapNone/>
                <wp:docPr id="6" name="矩形 3"/>
                <wp:cNvGraphicFramePr/>
                <a:graphic xmlns:a="http://schemas.openxmlformats.org/drawingml/2006/main">
                  <a:graphicData uri="http://schemas.microsoft.com/office/word/2010/wordprocessingShape">
                    <wps:wsp>
                      <wps:cNvSpPr/>
                      <wps:spPr>
                        <a:xfrm>
                          <a:off x="0" y="0"/>
                          <a:ext cx="1066800" cy="476250"/>
                        </a:xfrm>
                        <a:prstGeom prst="rect">
                          <a:avLst/>
                        </a:prstGeom>
                        <a:solidFill>
                          <a:srgbClr val="FFFFFF"/>
                        </a:solidFill>
                        <a:ln w="9525" cap="flat" cmpd="sng">
                          <a:solidFill>
                            <a:srgbClr val="FFFFFF"/>
                          </a:solidFill>
                          <a:prstDash val="solid"/>
                          <a:miter/>
                          <a:headEnd type="none" w="med" len="med"/>
                          <a:tailEnd type="none" w="med" len="med"/>
                        </a:ln>
                      </wps:spPr>
                      <wps:bodyPr upright="true"/>
                    </wps:wsp>
                  </a:graphicData>
                </a:graphic>
              </wp:anchor>
            </w:drawing>
          </mc:Choice>
          <mc:Fallback>
            <w:pict>
              <v:rect id="矩形 3" o:spid="_x0000_s1026" o:spt="1" style="position:absolute;left:0pt;margin-left:357.1pt;margin-top:637pt;height:37.5pt;width:84pt;z-index:251658240;mso-width-relative:page;mso-height-relative:page;" fillcolor="#FFFFFF" filled="t" stroked="t" coordsize="21600,21600" o:gfxdata="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9ePxC2QAAAA0BAAAPAAAAAAAAAAEAIAAAADgAAABkcnMvZG93bnJldi54bWxQ&#10;SwECFAAUAAAACACHTuJAZUqMBeABAADTAwAADgAAAAAAAAABACAAAAA+AQAAZHJzL2Uyb0RvYy54&#10;bWxQSwUGAAAAAAYABgBZAQAAkAUAAAAA&#10;">
                <v:fill on="t" focussize="0,0"/>
                <v:stroke color="#FFFFFF" joinstyle="miter"/>
                <v:imagedata o:title=""/>
                <o:lock v:ext="edit" aspectratio="f"/>
              </v:rect>
            </w:pict>
          </mc:Fallback>
        </mc:AlternateContent>
      </w:r>
    </w:p>
    <w:p>
      <w:pPr>
        <w:overflowPunct w:val="0"/>
        <w:topLinePunct/>
        <w:spacing w:line="600" w:lineRule="exact"/>
        <w:ind w:firstLine="0" w:firstLineChars="0"/>
        <w:jc w:val="left"/>
        <w:rPr>
          <w:rFonts w:cs="Times New Roman"/>
          <w:b/>
          <w:sz w:val="44"/>
          <w:szCs w:val="44"/>
        </w:rPr>
      </w:pPr>
      <w:bookmarkStart w:id="1" w:name="_GoBack"/>
      <w:bookmarkEnd w:id="1"/>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418" w:gutter="0"/>
      <w:pgNumType w:start="1"/>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587933733"/>
    </w:sdtPr>
    <w:sdtEndPr>
      <w:rPr>
        <w:rFonts w:hint="eastAsia" w:ascii="宋体" w:hAnsi="宋体" w:eastAsia="宋体"/>
        <w:sz w:val="28"/>
        <w:szCs w:val="28"/>
      </w:rPr>
    </w:sdtEndPr>
    <w:sdtContent>
      <w:p>
        <w:pPr>
          <w:pStyle w:val="9"/>
          <w:ind w:left="280" w:leftChars="100" w:right="280" w:rightChars="100" w:firstLine="0" w:firstLineChars="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宋体" w:hAnsi="宋体" w:eastAsia="宋体"/>
        <w:sz w:val="28"/>
        <w:szCs w:val="28"/>
      </w:rPr>
      <w:id w:val="1381817184"/>
    </w:sdtPr>
    <w:sdtEndPr>
      <w:rPr>
        <w:rFonts w:hint="eastAsia" w:ascii="宋体" w:hAnsi="宋体" w:eastAsia="宋体"/>
        <w:sz w:val="28"/>
        <w:szCs w:val="28"/>
      </w:rPr>
    </w:sdtEndPr>
    <w:sdtContent>
      <w:p>
        <w:pPr>
          <w:pStyle w:val="9"/>
          <w:ind w:left="280" w:leftChars="100" w:right="280" w:rightChars="100" w:firstLine="0" w:firstLineChars="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true"/>
  <w:bordersDoNotSurroundFooter w:val="true"/>
  <w:documentProtection w:enforcement="0"/>
  <w:defaultTabStop w:val="420"/>
  <w:evenAndOddHeaders w:val="true"/>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3B8"/>
    <w:rsid w:val="000052CB"/>
    <w:rsid w:val="00012DF4"/>
    <w:rsid w:val="00014FCB"/>
    <w:rsid w:val="00021398"/>
    <w:rsid w:val="0002381A"/>
    <w:rsid w:val="00026B27"/>
    <w:rsid w:val="0003062C"/>
    <w:rsid w:val="00031E48"/>
    <w:rsid w:val="000361FB"/>
    <w:rsid w:val="000362F9"/>
    <w:rsid w:val="0004109D"/>
    <w:rsid w:val="00042513"/>
    <w:rsid w:val="00042B62"/>
    <w:rsid w:val="00043DB1"/>
    <w:rsid w:val="0004519A"/>
    <w:rsid w:val="0004772A"/>
    <w:rsid w:val="00051CF6"/>
    <w:rsid w:val="00062615"/>
    <w:rsid w:val="0006427C"/>
    <w:rsid w:val="00065818"/>
    <w:rsid w:val="00066CE5"/>
    <w:rsid w:val="00067701"/>
    <w:rsid w:val="000733E9"/>
    <w:rsid w:val="00076A7C"/>
    <w:rsid w:val="0007734B"/>
    <w:rsid w:val="000817CD"/>
    <w:rsid w:val="00085719"/>
    <w:rsid w:val="00090D16"/>
    <w:rsid w:val="00090EE2"/>
    <w:rsid w:val="00092CF2"/>
    <w:rsid w:val="00096AA7"/>
    <w:rsid w:val="0009733F"/>
    <w:rsid w:val="000A02F2"/>
    <w:rsid w:val="000A4EEA"/>
    <w:rsid w:val="000B27F7"/>
    <w:rsid w:val="000B6083"/>
    <w:rsid w:val="000C5CFA"/>
    <w:rsid w:val="000C6C19"/>
    <w:rsid w:val="000D7394"/>
    <w:rsid w:val="000D74D2"/>
    <w:rsid w:val="000E1FEE"/>
    <w:rsid w:val="000E3C98"/>
    <w:rsid w:val="000E5490"/>
    <w:rsid w:val="000F3634"/>
    <w:rsid w:val="000F6BF5"/>
    <w:rsid w:val="0010147C"/>
    <w:rsid w:val="00102B05"/>
    <w:rsid w:val="001120B4"/>
    <w:rsid w:val="00112BA1"/>
    <w:rsid w:val="00117945"/>
    <w:rsid w:val="00117D1A"/>
    <w:rsid w:val="0012180B"/>
    <w:rsid w:val="001221EB"/>
    <w:rsid w:val="001228CC"/>
    <w:rsid w:val="00124E2A"/>
    <w:rsid w:val="001310B0"/>
    <w:rsid w:val="00131E80"/>
    <w:rsid w:val="00133733"/>
    <w:rsid w:val="00137553"/>
    <w:rsid w:val="00143172"/>
    <w:rsid w:val="001432CB"/>
    <w:rsid w:val="00143824"/>
    <w:rsid w:val="001444E6"/>
    <w:rsid w:val="0014653B"/>
    <w:rsid w:val="00151D71"/>
    <w:rsid w:val="00153190"/>
    <w:rsid w:val="001558AD"/>
    <w:rsid w:val="001608AF"/>
    <w:rsid w:val="00167AAA"/>
    <w:rsid w:val="00167F21"/>
    <w:rsid w:val="001715E4"/>
    <w:rsid w:val="001760F4"/>
    <w:rsid w:val="0018683E"/>
    <w:rsid w:val="0019076F"/>
    <w:rsid w:val="00196488"/>
    <w:rsid w:val="001A18F3"/>
    <w:rsid w:val="001A30F5"/>
    <w:rsid w:val="001A4C26"/>
    <w:rsid w:val="001A5FB5"/>
    <w:rsid w:val="001B392E"/>
    <w:rsid w:val="001B5744"/>
    <w:rsid w:val="001C1D7B"/>
    <w:rsid w:val="001C2F90"/>
    <w:rsid w:val="001C3258"/>
    <w:rsid w:val="001C768D"/>
    <w:rsid w:val="001D2491"/>
    <w:rsid w:val="001D4D94"/>
    <w:rsid w:val="001D574F"/>
    <w:rsid w:val="001D67D6"/>
    <w:rsid w:val="001D6BDA"/>
    <w:rsid w:val="001D7EE0"/>
    <w:rsid w:val="001E55C6"/>
    <w:rsid w:val="001E5CED"/>
    <w:rsid w:val="001E641C"/>
    <w:rsid w:val="001F39E5"/>
    <w:rsid w:val="00201271"/>
    <w:rsid w:val="00202211"/>
    <w:rsid w:val="00207DCE"/>
    <w:rsid w:val="00214BEA"/>
    <w:rsid w:val="00216A07"/>
    <w:rsid w:val="002313B3"/>
    <w:rsid w:val="00237710"/>
    <w:rsid w:val="00240469"/>
    <w:rsid w:val="002454CD"/>
    <w:rsid w:val="0024688C"/>
    <w:rsid w:val="00247C50"/>
    <w:rsid w:val="00251348"/>
    <w:rsid w:val="002551BF"/>
    <w:rsid w:val="002640D5"/>
    <w:rsid w:val="00266574"/>
    <w:rsid w:val="00266860"/>
    <w:rsid w:val="00266D4A"/>
    <w:rsid w:val="0027330D"/>
    <w:rsid w:val="00275D11"/>
    <w:rsid w:val="00276AB5"/>
    <w:rsid w:val="002805D5"/>
    <w:rsid w:val="00282907"/>
    <w:rsid w:val="00293ABB"/>
    <w:rsid w:val="00294290"/>
    <w:rsid w:val="00295817"/>
    <w:rsid w:val="002A2FA0"/>
    <w:rsid w:val="002A7ACC"/>
    <w:rsid w:val="002A7FF6"/>
    <w:rsid w:val="002B4470"/>
    <w:rsid w:val="002C22FB"/>
    <w:rsid w:val="002C3580"/>
    <w:rsid w:val="002C5A29"/>
    <w:rsid w:val="002C6334"/>
    <w:rsid w:val="002C6452"/>
    <w:rsid w:val="002C650F"/>
    <w:rsid w:val="002D33A9"/>
    <w:rsid w:val="002E2D0B"/>
    <w:rsid w:val="002E3E76"/>
    <w:rsid w:val="002F0464"/>
    <w:rsid w:val="002F0D6A"/>
    <w:rsid w:val="002F1317"/>
    <w:rsid w:val="002F1AE6"/>
    <w:rsid w:val="002F276C"/>
    <w:rsid w:val="002F45FA"/>
    <w:rsid w:val="002F56E9"/>
    <w:rsid w:val="002F7FCA"/>
    <w:rsid w:val="00303379"/>
    <w:rsid w:val="00311B9E"/>
    <w:rsid w:val="00312C49"/>
    <w:rsid w:val="003132F6"/>
    <w:rsid w:val="0031518A"/>
    <w:rsid w:val="003158C3"/>
    <w:rsid w:val="003205CF"/>
    <w:rsid w:val="00332215"/>
    <w:rsid w:val="0033520B"/>
    <w:rsid w:val="00335534"/>
    <w:rsid w:val="00337B9E"/>
    <w:rsid w:val="00350317"/>
    <w:rsid w:val="0035567D"/>
    <w:rsid w:val="0036650A"/>
    <w:rsid w:val="00367302"/>
    <w:rsid w:val="00372671"/>
    <w:rsid w:val="00374D00"/>
    <w:rsid w:val="00380BA5"/>
    <w:rsid w:val="003831AC"/>
    <w:rsid w:val="00385F6F"/>
    <w:rsid w:val="003A1F63"/>
    <w:rsid w:val="003A471E"/>
    <w:rsid w:val="003B1D13"/>
    <w:rsid w:val="003B3810"/>
    <w:rsid w:val="003C16E9"/>
    <w:rsid w:val="003C3010"/>
    <w:rsid w:val="003C36C5"/>
    <w:rsid w:val="003C390D"/>
    <w:rsid w:val="003C7011"/>
    <w:rsid w:val="003D2F34"/>
    <w:rsid w:val="003D4AB9"/>
    <w:rsid w:val="003D526B"/>
    <w:rsid w:val="003D52FF"/>
    <w:rsid w:val="003D6815"/>
    <w:rsid w:val="003E22AE"/>
    <w:rsid w:val="003E2DCE"/>
    <w:rsid w:val="003E70AF"/>
    <w:rsid w:val="003F1640"/>
    <w:rsid w:val="003F3D6B"/>
    <w:rsid w:val="003F5295"/>
    <w:rsid w:val="003F594E"/>
    <w:rsid w:val="003F66AB"/>
    <w:rsid w:val="00410ADB"/>
    <w:rsid w:val="0041580A"/>
    <w:rsid w:val="004163D2"/>
    <w:rsid w:val="0042232D"/>
    <w:rsid w:val="00426E72"/>
    <w:rsid w:val="004319E3"/>
    <w:rsid w:val="00434948"/>
    <w:rsid w:val="00434BB3"/>
    <w:rsid w:val="00435B1C"/>
    <w:rsid w:val="00446B54"/>
    <w:rsid w:val="00446BAB"/>
    <w:rsid w:val="00457F83"/>
    <w:rsid w:val="00460F0C"/>
    <w:rsid w:val="0046676B"/>
    <w:rsid w:val="00475AF6"/>
    <w:rsid w:val="00477D13"/>
    <w:rsid w:val="00485B6B"/>
    <w:rsid w:val="00485F76"/>
    <w:rsid w:val="00490B62"/>
    <w:rsid w:val="004954BE"/>
    <w:rsid w:val="0049772F"/>
    <w:rsid w:val="004A21D8"/>
    <w:rsid w:val="004A34CC"/>
    <w:rsid w:val="004A394F"/>
    <w:rsid w:val="004A6E78"/>
    <w:rsid w:val="004B3530"/>
    <w:rsid w:val="004B4138"/>
    <w:rsid w:val="004B50E7"/>
    <w:rsid w:val="004B59AD"/>
    <w:rsid w:val="004C5C5D"/>
    <w:rsid w:val="004C688B"/>
    <w:rsid w:val="004D4415"/>
    <w:rsid w:val="004D44A9"/>
    <w:rsid w:val="004D5253"/>
    <w:rsid w:val="004E2BA4"/>
    <w:rsid w:val="004E4A49"/>
    <w:rsid w:val="004E7F8D"/>
    <w:rsid w:val="004F0083"/>
    <w:rsid w:val="004F1C2A"/>
    <w:rsid w:val="004F504D"/>
    <w:rsid w:val="004F55FF"/>
    <w:rsid w:val="00501C91"/>
    <w:rsid w:val="00503010"/>
    <w:rsid w:val="00505B0E"/>
    <w:rsid w:val="00507DB6"/>
    <w:rsid w:val="00511B2A"/>
    <w:rsid w:val="00513193"/>
    <w:rsid w:val="00515236"/>
    <w:rsid w:val="0052181E"/>
    <w:rsid w:val="005225E9"/>
    <w:rsid w:val="005245B4"/>
    <w:rsid w:val="005255C8"/>
    <w:rsid w:val="00526FE1"/>
    <w:rsid w:val="005327DF"/>
    <w:rsid w:val="00533797"/>
    <w:rsid w:val="00536893"/>
    <w:rsid w:val="005422A1"/>
    <w:rsid w:val="00550F28"/>
    <w:rsid w:val="00553E4B"/>
    <w:rsid w:val="00555FC5"/>
    <w:rsid w:val="00556C94"/>
    <w:rsid w:val="00557822"/>
    <w:rsid w:val="005648F6"/>
    <w:rsid w:val="00575C08"/>
    <w:rsid w:val="00576E8F"/>
    <w:rsid w:val="005820E5"/>
    <w:rsid w:val="005864A2"/>
    <w:rsid w:val="005872E0"/>
    <w:rsid w:val="00590423"/>
    <w:rsid w:val="00593595"/>
    <w:rsid w:val="00593840"/>
    <w:rsid w:val="00594192"/>
    <w:rsid w:val="00594D6A"/>
    <w:rsid w:val="00596968"/>
    <w:rsid w:val="00597292"/>
    <w:rsid w:val="005A29C6"/>
    <w:rsid w:val="005B2860"/>
    <w:rsid w:val="005C1572"/>
    <w:rsid w:val="005C228C"/>
    <w:rsid w:val="005C4AE3"/>
    <w:rsid w:val="005C5F02"/>
    <w:rsid w:val="005D33B8"/>
    <w:rsid w:val="005D5BF2"/>
    <w:rsid w:val="005D6563"/>
    <w:rsid w:val="005D7420"/>
    <w:rsid w:val="005E1E27"/>
    <w:rsid w:val="005E5922"/>
    <w:rsid w:val="005E610D"/>
    <w:rsid w:val="005F0C9C"/>
    <w:rsid w:val="00600887"/>
    <w:rsid w:val="00602E5B"/>
    <w:rsid w:val="006041FB"/>
    <w:rsid w:val="00606CB0"/>
    <w:rsid w:val="006125B8"/>
    <w:rsid w:val="00614B32"/>
    <w:rsid w:val="00615ECB"/>
    <w:rsid w:val="006212E4"/>
    <w:rsid w:val="0062752E"/>
    <w:rsid w:val="00631108"/>
    <w:rsid w:val="00632E22"/>
    <w:rsid w:val="006345AF"/>
    <w:rsid w:val="006371F3"/>
    <w:rsid w:val="00637584"/>
    <w:rsid w:val="00640A6F"/>
    <w:rsid w:val="0064290A"/>
    <w:rsid w:val="00646ADB"/>
    <w:rsid w:val="00647B51"/>
    <w:rsid w:val="00650F34"/>
    <w:rsid w:val="00652409"/>
    <w:rsid w:val="006529D6"/>
    <w:rsid w:val="00654A4C"/>
    <w:rsid w:val="00657362"/>
    <w:rsid w:val="00660339"/>
    <w:rsid w:val="00662603"/>
    <w:rsid w:val="00666ACD"/>
    <w:rsid w:val="00666EED"/>
    <w:rsid w:val="00671B2D"/>
    <w:rsid w:val="00676913"/>
    <w:rsid w:val="0067793D"/>
    <w:rsid w:val="00677D47"/>
    <w:rsid w:val="006867EC"/>
    <w:rsid w:val="00686AA3"/>
    <w:rsid w:val="006A4991"/>
    <w:rsid w:val="006A7053"/>
    <w:rsid w:val="006B1112"/>
    <w:rsid w:val="006B1D9C"/>
    <w:rsid w:val="006B2C86"/>
    <w:rsid w:val="006B60D8"/>
    <w:rsid w:val="006B636A"/>
    <w:rsid w:val="006B6541"/>
    <w:rsid w:val="006C03A2"/>
    <w:rsid w:val="006C2DE5"/>
    <w:rsid w:val="006C47A7"/>
    <w:rsid w:val="006C78EC"/>
    <w:rsid w:val="006C7C81"/>
    <w:rsid w:val="006D1E94"/>
    <w:rsid w:val="006D5068"/>
    <w:rsid w:val="006D64ED"/>
    <w:rsid w:val="006E53F1"/>
    <w:rsid w:val="006F0E76"/>
    <w:rsid w:val="006F4DCF"/>
    <w:rsid w:val="00701636"/>
    <w:rsid w:val="00705B5C"/>
    <w:rsid w:val="007107AF"/>
    <w:rsid w:val="00717927"/>
    <w:rsid w:val="00717B08"/>
    <w:rsid w:val="00720983"/>
    <w:rsid w:val="00720E17"/>
    <w:rsid w:val="00721E81"/>
    <w:rsid w:val="00722359"/>
    <w:rsid w:val="0073127D"/>
    <w:rsid w:val="00732F29"/>
    <w:rsid w:val="00745B1E"/>
    <w:rsid w:val="00746925"/>
    <w:rsid w:val="007469EE"/>
    <w:rsid w:val="0074719C"/>
    <w:rsid w:val="00751F0E"/>
    <w:rsid w:val="007555CE"/>
    <w:rsid w:val="0076069C"/>
    <w:rsid w:val="007628C7"/>
    <w:rsid w:val="00762FBD"/>
    <w:rsid w:val="0076503D"/>
    <w:rsid w:val="007650DD"/>
    <w:rsid w:val="00773F51"/>
    <w:rsid w:val="00774B27"/>
    <w:rsid w:val="00777D33"/>
    <w:rsid w:val="00785338"/>
    <w:rsid w:val="007967BB"/>
    <w:rsid w:val="007A0BE4"/>
    <w:rsid w:val="007A4632"/>
    <w:rsid w:val="007A4FE9"/>
    <w:rsid w:val="007B59A2"/>
    <w:rsid w:val="007B5F97"/>
    <w:rsid w:val="007B783F"/>
    <w:rsid w:val="007C3B1A"/>
    <w:rsid w:val="007C6C77"/>
    <w:rsid w:val="007D149C"/>
    <w:rsid w:val="007D3327"/>
    <w:rsid w:val="007D41DC"/>
    <w:rsid w:val="007D5E7D"/>
    <w:rsid w:val="007D6A46"/>
    <w:rsid w:val="007D7DB9"/>
    <w:rsid w:val="007E262A"/>
    <w:rsid w:val="007E386D"/>
    <w:rsid w:val="007E60E6"/>
    <w:rsid w:val="007E6DC8"/>
    <w:rsid w:val="007E7722"/>
    <w:rsid w:val="007F5A95"/>
    <w:rsid w:val="007F5BBB"/>
    <w:rsid w:val="007F72F6"/>
    <w:rsid w:val="007F7504"/>
    <w:rsid w:val="008139D4"/>
    <w:rsid w:val="00817DEF"/>
    <w:rsid w:val="0082006B"/>
    <w:rsid w:val="0082009A"/>
    <w:rsid w:val="0082222D"/>
    <w:rsid w:val="008224A9"/>
    <w:rsid w:val="00823AC7"/>
    <w:rsid w:val="0082555B"/>
    <w:rsid w:val="00827278"/>
    <w:rsid w:val="00827754"/>
    <w:rsid w:val="00841C2A"/>
    <w:rsid w:val="00843A13"/>
    <w:rsid w:val="00850FD6"/>
    <w:rsid w:val="00852945"/>
    <w:rsid w:val="00865705"/>
    <w:rsid w:val="00871E48"/>
    <w:rsid w:val="0087555D"/>
    <w:rsid w:val="00876F92"/>
    <w:rsid w:val="00877B82"/>
    <w:rsid w:val="00885812"/>
    <w:rsid w:val="00892A21"/>
    <w:rsid w:val="008A2239"/>
    <w:rsid w:val="008B04C0"/>
    <w:rsid w:val="008B7B18"/>
    <w:rsid w:val="008C1FBF"/>
    <w:rsid w:val="008C7881"/>
    <w:rsid w:val="008D320A"/>
    <w:rsid w:val="008D327E"/>
    <w:rsid w:val="008F2071"/>
    <w:rsid w:val="008F53AB"/>
    <w:rsid w:val="00900B96"/>
    <w:rsid w:val="00903586"/>
    <w:rsid w:val="00914878"/>
    <w:rsid w:val="009220C3"/>
    <w:rsid w:val="009220CD"/>
    <w:rsid w:val="00922564"/>
    <w:rsid w:val="00940062"/>
    <w:rsid w:val="00940DC4"/>
    <w:rsid w:val="009414A8"/>
    <w:rsid w:val="00943359"/>
    <w:rsid w:val="009452D6"/>
    <w:rsid w:val="00946399"/>
    <w:rsid w:val="00957AD5"/>
    <w:rsid w:val="00981684"/>
    <w:rsid w:val="00982C95"/>
    <w:rsid w:val="00995180"/>
    <w:rsid w:val="00996E19"/>
    <w:rsid w:val="0099787E"/>
    <w:rsid w:val="009A3329"/>
    <w:rsid w:val="009A3C2F"/>
    <w:rsid w:val="009B1A6B"/>
    <w:rsid w:val="009C0E20"/>
    <w:rsid w:val="009C4236"/>
    <w:rsid w:val="009D686D"/>
    <w:rsid w:val="009E1E28"/>
    <w:rsid w:val="009E49F2"/>
    <w:rsid w:val="009E4C80"/>
    <w:rsid w:val="009F0A34"/>
    <w:rsid w:val="009F6BB4"/>
    <w:rsid w:val="009F6E7E"/>
    <w:rsid w:val="00A00F5D"/>
    <w:rsid w:val="00A06350"/>
    <w:rsid w:val="00A22619"/>
    <w:rsid w:val="00A22BCD"/>
    <w:rsid w:val="00A232E1"/>
    <w:rsid w:val="00A24D99"/>
    <w:rsid w:val="00A24F1C"/>
    <w:rsid w:val="00A35577"/>
    <w:rsid w:val="00A4417D"/>
    <w:rsid w:val="00A44408"/>
    <w:rsid w:val="00A4531B"/>
    <w:rsid w:val="00A46683"/>
    <w:rsid w:val="00A4748E"/>
    <w:rsid w:val="00A5002E"/>
    <w:rsid w:val="00A52758"/>
    <w:rsid w:val="00A52E8E"/>
    <w:rsid w:val="00A62A29"/>
    <w:rsid w:val="00A63515"/>
    <w:rsid w:val="00A67150"/>
    <w:rsid w:val="00A7379A"/>
    <w:rsid w:val="00A74643"/>
    <w:rsid w:val="00A779F9"/>
    <w:rsid w:val="00A83407"/>
    <w:rsid w:val="00A852A2"/>
    <w:rsid w:val="00A859C7"/>
    <w:rsid w:val="00A900D8"/>
    <w:rsid w:val="00A94784"/>
    <w:rsid w:val="00A9702B"/>
    <w:rsid w:val="00AA25D4"/>
    <w:rsid w:val="00AA27A4"/>
    <w:rsid w:val="00AA30FA"/>
    <w:rsid w:val="00AA52E8"/>
    <w:rsid w:val="00AB27FB"/>
    <w:rsid w:val="00AB2A02"/>
    <w:rsid w:val="00AB456F"/>
    <w:rsid w:val="00AB46CB"/>
    <w:rsid w:val="00AB5BA6"/>
    <w:rsid w:val="00AC17D7"/>
    <w:rsid w:val="00AC3B2B"/>
    <w:rsid w:val="00AC46DA"/>
    <w:rsid w:val="00AD09D7"/>
    <w:rsid w:val="00AD5093"/>
    <w:rsid w:val="00AD51F9"/>
    <w:rsid w:val="00AD61DB"/>
    <w:rsid w:val="00AD67B1"/>
    <w:rsid w:val="00AE1CF4"/>
    <w:rsid w:val="00AE1DB1"/>
    <w:rsid w:val="00AE30EE"/>
    <w:rsid w:val="00AF0E2E"/>
    <w:rsid w:val="00B0533C"/>
    <w:rsid w:val="00B118CA"/>
    <w:rsid w:val="00B177F9"/>
    <w:rsid w:val="00B224AB"/>
    <w:rsid w:val="00B22DCC"/>
    <w:rsid w:val="00B320E3"/>
    <w:rsid w:val="00B330FD"/>
    <w:rsid w:val="00B401A4"/>
    <w:rsid w:val="00B413EC"/>
    <w:rsid w:val="00B47A68"/>
    <w:rsid w:val="00B505C9"/>
    <w:rsid w:val="00B55EE0"/>
    <w:rsid w:val="00B6206E"/>
    <w:rsid w:val="00B63C9D"/>
    <w:rsid w:val="00B65A86"/>
    <w:rsid w:val="00B71C9F"/>
    <w:rsid w:val="00B77DBA"/>
    <w:rsid w:val="00B81D3B"/>
    <w:rsid w:val="00B9350E"/>
    <w:rsid w:val="00BA4653"/>
    <w:rsid w:val="00BA5591"/>
    <w:rsid w:val="00BA709A"/>
    <w:rsid w:val="00BB1F84"/>
    <w:rsid w:val="00BB5540"/>
    <w:rsid w:val="00BB7E44"/>
    <w:rsid w:val="00BC2026"/>
    <w:rsid w:val="00BC247A"/>
    <w:rsid w:val="00BC563E"/>
    <w:rsid w:val="00BD1C3A"/>
    <w:rsid w:val="00BD226F"/>
    <w:rsid w:val="00BD498A"/>
    <w:rsid w:val="00BE071D"/>
    <w:rsid w:val="00BE62A8"/>
    <w:rsid w:val="00BE6415"/>
    <w:rsid w:val="00BE6E15"/>
    <w:rsid w:val="00BF0CC8"/>
    <w:rsid w:val="00BF5EF6"/>
    <w:rsid w:val="00C03A14"/>
    <w:rsid w:val="00C11C41"/>
    <w:rsid w:val="00C1272B"/>
    <w:rsid w:val="00C13539"/>
    <w:rsid w:val="00C20486"/>
    <w:rsid w:val="00C22C2B"/>
    <w:rsid w:val="00C23286"/>
    <w:rsid w:val="00C27EAF"/>
    <w:rsid w:val="00C33BBD"/>
    <w:rsid w:val="00C35204"/>
    <w:rsid w:val="00C35EB3"/>
    <w:rsid w:val="00C45B3A"/>
    <w:rsid w:val="00C45F1C"/>
    <w:rsid w:val="00C529C0"/>
    <w:rsid w:val="00C62434"/>
    <w:rsid w:val="00C657A9"/>
    <w:rsid w:val="00C818DD"/>
    <w:rsid w:val="00C821E3"/>
    <w:rsid w:val="00C84CA8"/>
    <w:rsid w:val="00C905B6"/>
    <w:rsid w:val="00C909CF"/>
    <w:rsid w:val="00CA140B"/>
    <w:rsid w:val="00CA606C"/>
    <w:rsid w:val="00CB1123"/>
    <w:rsid w:val="00CB24F3"/>
    <w:rsid w:val="00CB435F"/>
    <w:rsid w:val="00CB5166"/>
    <w:rsid w:val="00CB6A17"/>
    <w:rsid w:val="00CC0760"/>
    <w:rsid w:val="00CC7F96"/>
    <w:rsid w:val="00CD5B72"/>
    <w:rsid w:val="00CD731C"/>
    <w:rsid w:val="00CE056F"/>
    <w:rsid w:val="00CE490A"/>
    <w:rsid w:val="00CF3AEC"/>
    <w:rsid w:val="00CF3B8A"/>
    <w:rsid w:val="00CF74E3"/>
    <w:rsid w:val="00D017EF"/>
    <w:rsid w:val="00D10F78"/>
    <w:rsid w:val="00D16ECA"/>
    <w:rsid w:val="00D239D7"/>
    <w:rsid w:val="00D23C91"/>
    <w:rsid w:val="00D27D11"/>
    <w:rsid w:val="00D36067"/>
    <w:rsid w:val="00D373DA"/>
    <w:rsid w:val="00D37A16"/>
    <w:rsid w:val="00D40106"/>
    <w:rsid w:val="00D507CB"/>
    <w:rsid w:val="00D50EFD"/>
    <w:rsid w:val="00D51FAD"/>
    <w:rsid w:val="00D56CF3"/>
    <w:rsid w:val="00D571FA"/>
    <w:rsid w:val="00D5766F"/>
    <w:rsid w:val="00D6255B"/>
    <w:rsid w:val="00D634D6"/>
    <w:rsid w:val="00D666F3"/>
    <w:rsid w:val="00D66819"/>
    <w:rsid w:val="00D73F9A"/>
    <w:rsid w:val="00D82F4C"/>
    <w:rsid w:val="00D86414"/>
    <w:rsid w:val="00D93567"/>
    <w:rsid w:val="00D94829"/>
    <w:rsid w:val="00D97756"/>
    <w:rsid w:val="00D97E6A"/>
    <w:rsid w:val="00DA4B88"/>
    <w:rsid w:val="00DA5120"/>
    <w:rsid w:val="00DA6B52"/>
    <w:rsid w:val="00DB36F5"/>
    <w:rsid w:val="00DB7B2C"/>
    <w:rsid w:val="00DC11FB"/>
    <w:rsid w:val="00DC394A"/>
    <w:rsid w:val="00DC4B76"/>
    <w:rsid w:val="00DC6D3C"/>
    <w:rsid w:val="00DC749C"/>
    <w:rsid w:val="00DD4078"/>
    <w:rsid w:val="00DD42A1"/>
    <w:rsid w:val="00DD49E3"/>
    <w:rsid w:val="00DE025E"/>
    <w:rsid w:val="00DE361C"/>
    <w:rsid w:val="00DE47A4"/>
    <w:rsid w:val="00DE74B7"/>
    <w:rsid w:val="00DF3ABA"/>
    <w:rsid w:val="00DF67B2"/>
    <w:rsid w:val="00DF6920"/>
    <w:rsid w:val="00E0091C"/>
    <w:rsid w:val="00E017C1"/>
    <w:rsid w:val="00E02E15"/>
    <w:rsid w:val="00E208A8"/>
    <w:rsid w:val="00E20971"/>
    <w:rsid w:val="00E23BB9"/>
    <w:rsid w:val="00E2498D"/>
    <w:rsid w:val="00E267FC"/>
    <w:rsid w:val="00E26CCD"/>
    <w:rsid w:val="00E271E6"/>
    <w:rsid w:val="00E330EB"/>
    <w:rsid w:val="00E455AF"/>
    <w:rsid w:val="00E46181"/>
    <w:rsid w:val="00E52424"/>
    <w:rsid w:val="00E52F25"/>
    <w:rsid w:val="00E574F4"/>
    <w:rsid w:val="00E6242C"/>
    <w:rsid w:val="00E67435"/>
    <w:rsid w:val="00E70005"/>
    <w:rsid w:val="00E707BE"/>
    <w:rsid w:val="00E70A57"/>
    <w:rsid w:val="00E737D2"/>
    <w:rsid w:val="00E7479A"/>
    <w:rsid w:val="00E76644"/>
    <w:rsid w:val="00E76B26"/>
    <w:rsid w:val="00E8064D"/>
    <w:rsid w:val="00E825A3"/>
    <w:rsid w:val="00E85B0F"/>
    <w:rsid w:val="00E861B9"/>
    <w:rsid w:val="00E8683B"/>
    <w:rsid w:val="00E87EF9"/>
    <w:rsid w:val="00E920D5"/>
    <w:rsid w:val="00E9313E"/>
    <w:rsid w:val="00E94311"/>
    <w:rsid w:val="00EA5893"/>
    <w:rsid w:val="00EB026E"/>
    <w:rsid w:val="00EB4DF6"/>
    <w:rsid w:val="00EB7680"/>
    <w:rsid w:val="00EC2258"/>
    <w:rsid w:val="00ED0FB2"/>
    <w:rsid w:val="00ED792D"/>
    <w:rsid w:val="00EE1786"/>
    <w:rsid w:val="00EE5284"/>
    <w:rsid w:val="00EE5830"/>
    <w:rsid w:val="00EF38B6"/>
    <w:rsid w:val="00EF5791"/>
    <w:rsid w:val="00F007B0"/>
    <w:rsid w:val="00F02464"/>
    <w:rsid w:val="00F0333D"/>
    <w:rsid w:val="00F071C0"/>
    <w:rsid w:val="00F119DA"/>
    <w:rsid w:val="00F11EFE"/>
    <w:rsid w:val="00F12E22"/>
    <w:rsid w:val="00F140E2"/>
    <w:rsid w:val="00F22325"/>
    <w:rsid w:val="00F22F63"/>
    <w:rsid w:val="00F26FE9"/>
    <w:rsid w:val="00F275FD"/>
    <w:rsid w:val="00F33F92"/>
    <w:rsid w:val="00F34A89"/>
    <w:rsid w:val="00F35D5C"/>
    <w:rsid w:val="00F41FE5"/>
    <w:rsid w:val="00F42E71"/>
    <w:rsid w:val="00F44334"/>
    <w:rsid w:val="00F47042"/>
    <w:rsid w:val="00F54F47"/>
    <w:rsid w:val="00F553F5"/>
    <w:rsid w:val="00F558EE"/>
    <w:rsid w:val="00F56624"/>
    <w:rsid w:val="00F605AD"/>
    <w:rsid w:val="00F7544C"/>
    <w:rsid w:val="00F77669"/>
    <w:rsid w:val="00F814BD"/>
    <w:rsid w:val="00F87A33"/>
    <w:rsid w:val="00F87CD5"/>
    <w:rsid w:val="00F90DBE"/>
    <w:rsid w:val="00F92224"/>
    <w:rsid w:val="00F93499"/>
    <w:rsid w:val="00F94FAF"/>
    <w:rsid w:val="00FA2100"/>
    <w:rsid w:val="00FA3758"/>
    <w:rsid w:val="00FA70F0"/>
    <w:rsid w:val="00FB4FD3"/>
    <w:rsid w:val="00FB51CF"/>
    <w:rsid w:val="00FB7D01"/>
    <w:rsid w:val="00FB7FA2"/>
    <w:rsid w:val="00FC1217"/>
    <w:rsid w:val="00FC4E49"/>
    <w:rsid w:val="00FC7AA3"/>
    <w:rsid w:val="00FD1FC2"/>
    <w:rsid w:val="00FE03F5"/>
    <w:rsid w:val="00FE5E9A"/>
    <w:rsid w:val="00FF0084"/>
    <w:rsid w:val="00FF1102"/>
    <w:rsid w:val="00FF550E"/>
    <w:rsid w:val="011D5A46"/>
    <w:rsid w:val="040E5EA0"/>
    <w:rsid w:val="084C4BAF"/>
    <w:rsid w:val="0C9E5113"/>
    <w:rsid w:val="106D4518"/>
    <w:rsid w:val="1DF785B6"/>
    <w:rsid w:val="262E1A92"/>
    <w:rsid w:val="29732672"/>
    <w:rsid w:val="31C54B3C"/>
    <w:rsid w:val="3396503B"/>
    <w:rsid w:val="347B38B6"/>
    <w:rsid w:val="35772532"/>
    <w:rsid w:val="38065B35"/>
    <w:rsid w:val="3ADF7588"/>
    <w:rsid w:val="3B90292B"/>
    <w:rsid w:val="3DBFC665"/>
    <w:rsid w:val="3E771D08"/>
    <w:rsid w:val="3FE16E4F"/>
    <w:rsid w:val="3FFB8CB4"/>
    <w:rsid w:val="41D16C61"/>
    <w:rsid w:val="437D58C3"/>
    <w:rsid w:val="4A92268D"/>
    <w:rsid w:val="52035056"/>
    <w:rsid w:val="54F24B15"/>
    <w:rsid w:val="567E66A2"/>
    <w:rsid w:val="58A956C9"/>
    <w:rsid w:val="59F4E2AB"/>
    <w:rsid w:val="5A77D168"/>
    <w:rsid w:val="5C943956"/>
    <w:rsid w:val="5D6FB6D2"/>
    <w:rsid w:val="5DAF7C22"/>
    <w:rsid w:val="64665F5A"/>
    <w:rsid w:val="67CFFAC0"/>
    <w:rsid w:val="697A7955"/>
    <w:rsid w:val="6C9F5F15"/>
    <w:rsid w:val="6CAF49CA"/>
    <w:rsid w:val="6DDFE7F3"/>
    <w:rsid w:val="6DFFFA35"/>
    <w:rsid w:val="6EFEB248"/>
    <w:rsid w:val="77FFB1E0"/>
    <w:rsid w:val="79DB4088"/>
    <w:rsid w:val="7EEE8004"/>
    <w:rsid w:val="7F5865A3"/>
    <w:rsid w:val="7F5B39B6"/>
    <w:rsid w:val="A0E7C377"/>
    <w:rsid w:val="A9EF5480"/>
    <w:rsid w:val="ABFFE0A8"/>
    <w:rsid w:val="AFF010E3"/>
    <w:rsid w:val="B5D74FF9"/>
    <w:rsid w:val="B73DA0E4"/>
    <w:rsid w:val="B77B24AA"/>
    <w:rsid w:val="B77D4E76"/>
    <w:rsid w:val="B9DF3960"/>
    <w:rsid w:val="BBFBEC5F"/>
    <w:rsid w:val="BDEFE1D7"/>
    <w:rsid w:val="BFE76F8D"/>
    <w:rsid w:val="BFFF12B4"/>
    <w:rsid w:val="CEF766E0"/>
    <w:rsid w:val="D5FD0EFC"/>
    <w:rsid w:val="D9DFFB4C"/>
    <w:rsid w:val="DA37670E"/>
    <w:rsid w:val="DFBFE681"/>
    <w:rsid w:val="DFFF6514"/>
    <w:rsid w:val="E7771C72"/>
    <w:rsid w:val="EBFF8847"/>
    <w:rsid w:val="ECFA2066"/>
    <w:rsid w:val="ED87037D"/>
    <w:rsid w:val="EEE64B51"/>
    <w:rsid w:val="EFBFB87A"/>
    <w:rsid w:val="EFF5B610"/>
    <w:rsid w:val="F5B699BD"/>
    <w:rsid w:val="F77E5DD0"/>
    <w:rsid w:val="F7DE9489"/>
    <w:rsid w:val="FAF75FDE"/>
    <w:rsid w:val="FAFF0724"/>
    <w:rsid w:val="FE7F79BD"/>
    <w:rsid w:val="FF0997E4"/>
    <w:rsid w:val="FF7DB448"/>
    <w:rsid w:val="FFBD5A63"/>
    <w:rsid w:val="FFED23BE"/>
    <w:rsid w:val="FFF6939B"/>
    <w:rsid w:val="FFFC632A"/>
    <w:rsid w:val="FFFF84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heme="minorBidi"/>
      <w:kern w:val="2"/>
      <w:sz w:val="28"/>
      <w:szCs w:val="22"/>
      <w:lang w:val="en-US" w:eastAsia="zh-CN" w:bidi="ar-SA"/>
    </w:rPr>
  </w:style>
  <w:style w:type="paragraph" w:styleId="3">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4"/>
    <w:semiHidden/>
    <w:unhideWhenUsed/>
    <w:qFormat/>
    <w:uiPriority w:val="99"/>
    <w:rPr>
      <w:sz w:val="18"/>
      <w:szCs w:val="18"/>
    </w:rPr>
  </w:style>
  <w:style w:type="paragraph" w:styleId="5">
    <w:name w:val="Document Map"/>
    <w:basedOn w:val="1"/>
    <w:link w:val="22"/>
    <w:semiHidden/>
    <w:unhideWhenUsed/>
    <w:qFormat/>
    <w:uiPriority w:val="99"/>
    <w:rPr>
      <w:rFonts w:ascii="宋体" w:eastAsia="宋体"/>
      <w:sz w:val="18"/>
      <w:szCs w:val="18"/>
    </w:rPr>
  </w:style>
  <w:style w:type="paragraph" w:styleId="6">
    <w:name w:val="annotation text"/>
    <w:basedOn w:val="1"/>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Date"/>
    <w:basedOn w:val="1"/>
    <w:next w:val="1"/>
    <w:link w:val="23"/>
    <w:semiHidden/>
    <w:unhideWhenUsed/>
    <w:qFormat/>
    <w:uiPriority w:val="99"/>
    <w:pPr>
      <w:ind w:left="100" w:leftChars="2500"/>
    </w:p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ind w:firstLine="0" w:firstLineChars="0"/>
    </w:pPr>
    <w:rPr>
      <w:rFonts w:eastAsia="宋体" w:cs="Times New Roman"/>
      <w:sz w:val="24"/>
      <w:szCs w:val="20"/>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FollowedHyperlink"/>
    <w:basedOn w:val="16"/>
    <w:semiHidden/>
    <w:unhideWhenUsed/>
    <w:qFormat/>
    <w:uiPriority w:val="99"/>
    <w:rPr>
      <w:color w:val="954F72"/>
      <w:u w:val="single"/>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标题 1 字符"/>
    <w:basedOn w:val="16"/>
    <w:link w:val="3"/>
    <w:qFormat/>
    <w:uiPriority w:val="9"/>
    <w:rPr>
      <w:b/>
      <w:bCs/>
      <w:kern w:val="44"/>
      <w:sz w:val="44"/>
      <w:szCs w:val="44"/>
    </w:rPr>
  </w:style>
  <w:style w:type="character" w:customStyle="1" w:styleId="21">
    <w:name w:val="标题 2 字符"/>
    <w:basedOn w:val="16"/>
    <w:link w:val="4"/>
    <w:semiHidden/>
    <w:qFormat/>
    <w:uiPriority w:val="9"/>
    <w:rPr>
      <w:rFonts w:asciiTheme="majorHAnsi" w:hAnsiTheme="majorHAnsi" w:eastAsiaTheme="majorEastAsia" w:cstheme="majorBidi"/>
      <w:b/>
      <w:bCs/>
      <w:kern w:val="2"/>
      <w:sz w:val="32"/>
      <w:szCs w:val="32"/>
    </w:rPr>
  </w:style>
  <w:style w:type="character" w:customStyle="1" w:styleId="22">
    <w:name w:val="文档结构图 字符"/>
    <w:basedOn w:val="16"/>
    <w:link w:val="5"/>
    <w:semiHidden/>
    <w:qFormat/>
    <w:uiPriority w:val="99"/>
    <w:rPr>
      <w:rFonts w:ascii="宋体" w:eastAsia="宋体"/>
      <w:sz w:val="18"/>
      <w:szCs w:val="18"/>
    </w:rPr>
  </w:style>
  <w:style w:type="character" w:customStyle="1" w:styleId="23">
    <w:name w:val="日期 字符"/>
    <w:basedOn w:val="16"/>
    <w:link w:val="8"/>
    <w:semiHidden/>
    <w:qFormat/>
    <w:uiPriority w:val="99"/>
    <w:rPr>
      <w:rFonts w:eastAsia="仿宋_GB2312" w:cstheme="minorBidi"/>
      <w:kern w:val="2"/>
      <w:sz w:val="28"/>
      <w:szCs w:val="22"/>
    </w:rPr>
  </w:style>
  <w:style w:type="character" w:customStyle="1" w:styleId="24">
    <w:name w:val="批注框文本 字符"/>
    <w:basedOn w:val="16"/>
    <w:link w:val="2"/>
    <w:semiHidden/>
    <w:qFormat/>
    <w:uiPriority w:val="99"/>
    <w:rPr>
      <w:sz w:val="18"/>
      <w:szCs w:val="18"/>
    </w:rPr>
  </w:style>
  <w:style w:type="character" w:customStyle="1" w:styleId="25">
    <w:name w:val="页脚 字符"/>
    <w:basedOn w:val="16"/>
    <w:link w:val="9"/>
    <w:qFormat/>
    <w:uiPriority w:val="99"/>
    <w:rPr>
      <w:sz w:val="18"/>
      <w:szCs w:val="18"/>
    </w:rPr>
  </w:style>
  <w:style w:type="character" w:customStyle="1" w:styleId="26">
    <w:name w:val="页眉 字符"/>
    <w:basedOn w:val="16"/>
    <w:link w:val="10"/>
    <w:qFormat/>
    <w:uiPriority w:val="99"/>
    <w:rPr>
      <w:sz w:val="18"/>
      <w:szCs w:val="18"/>
    </w:rPr>
  </w:style>
  <w:style w:type="paragraph" w:styleId="27">
    <w:name w:val="List Paragraph"/>
    <w:basedOn w:val="1"/>
    <w:qFormat/>
    <w:uiPriority w:val="34"/>
    <w:pPr>
      <w:ind w:firstLine="420"/>
    </w:pPr>
  </w:style>
  <w:style w:type="table" w:customStyle="1" w:styleId="28">
    <w:name w:val="网格型1"/>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table" w:customStyle="1" w:styleId="30">
    <w:name w:val="网格型2"/>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网格型3"/>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表格"/>
    <w:basedOn w:val="1"/>
    <w:link w:val="33"/>
    <w:qFormat/>
    <w:uiPriority w:val="0"/>
    <w:pPr>
      <w:ind w:firstLine="0" w:firstLineChars="0"/>
      <w:jc w:val="center"/>
    </w:pPr>
    <w:rPr>
      <w:rFonts w:cs="Times New Roman"/>
      <w:color w:val="000000"/>
      <w:sz w:val="21"/>
      <w:szCs w:val="21"/>
    </w:rPr>
  </w:style>
  <w:style w:type="character" w:customStyle="1" w:styleId="33">
    <w:name w:val="表格 Char"/>
    <w:basedOn w:val="16"/>
    <w:link w:val="32"/>
    <w:qFormat/>
    <w:uiPriority w:val="0"/>
    <w:rPr>
      <w:rFonts w:ascii="Times New Roman" w:hAnsi="Times New Roman" w:eastAsia="仿宋_GB2312" w:cs="Times New Roman"/>
      <w:color w:val="000000"/>
      <w:szCs w:val="21"/>
    </w:rPr>
  </w:style>
  <w:style w:type="paragraph" w:customStyle="1" w:styleId="34">
    <w:name w:val="一级标题lq"/>
    <w:basedOn w:val="1"/>
    <w:link w:val="35"/>
    <w:qFormat/>
    <w:uiPriority w:val="0"/>
    <w:pPr>
      <w:spacing w:beforeLines="50" w:afterLines="50" w:line="360" w:lineRule="auto"/>
      <w:outlineLvl w:val="0"/>
    </w:pPr>
    <w:rPr>
      <w:rFonts w:ascii="仿宋_GB2312" w:hAnsi="微软雅黑" w:cs="Times New Roman"/>
      <w:b/>
      <w:sz w:val="32"/>
      <w:szCs w:val="28"/>
    </w:rPr>
  </w:style>
  <w:style w:type="character" w:customStyle="1" w:styleId="35">
    <w:name w:val="一级标题lq Char"/>
    <w:basedOn w:val="16"/>
    <w:link w:val="34"/>
    <w:qFormat/>
    <w:uiPriority w:val="0"/>
    <w:rPr>
      <w:rFonts w:ascii="仿宋_GB2312" w:hAnsi="微软雅黑" w:eastAsia="仿宋_GB2312" w:cs="Times New Roman"/>
      <w:b/>
      <w:sz w:val="32"/>
      <w:szCs w:val="28"/>
    </w:rPr>
  </w:style>
  <w:style w:type="paragraph" w:customStyle="1" w:styleId="36">
    <w:name w:val="二级标题lq"/>
    <w:basedOn w:val="1"/>
    <w:link w:val="37"/>
    <w:qFormat/>
    <w:uiPriority w:val="0"/>
    <w:pPr>
      <w:spacing w:beforeLines="50" w:afterLines="50" w:line="360" w:lineRule="auto"/>
      <w:outlineLvl w:val="1"/>
    </w:pPr>
    <w:rPr>
      <w:rFonts w:ascii="仿宋_GB2312" w:hAnsi="黑体" w:cs="Times New Roman"/>
      <w:b/>
      <w:szCs w:val="28"/>
    </w:rPr>
  </w:style>
  <w:style w:type="character" w:customStyle="1" w:styleId="37">
    <w:name w:val="二级标题lq Char"/>
    <w:basedOn w:val="16"/>
    <w:link w:val="36"/>
    <w:qFormat/>
    <w:uiPriority w:val="0"/>
    <w:rPr>
      <w:rFonts w:ascii="仿宋_GB2312" w:hAnsi="黑体" w:eastAsia="仿宋_GB2312" w:cs="Times New Roman"/>
      <w:b/>
      <w:sz w:val="28"/>
      <w:szCs w:val="28"/>
    </w:rPr>
  </w:style>
  <w:style w:type="paragraph" w:customStyle="1" w:styleId="38">
    <w:name w:val="表头"/>
    <w:basedOn w:val="1"/>
    <w:link w:val="39"/>
    <w:qFormat/>
    <w:uiPriority w:val="0"/>
    <w:pPr>
      <w:spacing w:line="360" w:lineRule="auto"/>
      <w:ind w:firstLine="0" w:firstLineChars="0"/>
      <w:jc w:val="center"/>
    </w:pPr>
    <w:rPr>
      <w:rFonts w:cs="Times New Roman"/>
      <w:color w:val="000000"/>
      <w:sz w:val="24"/>
      <w:szCs w:val="28"/>
    </w:rPr>
  </w:style>
  <w:style w:type="character" w:customStyle="1" w:styleId="39">
    <w:name w:val="表头 Char"/>
    <w:basedOn w:val="16"/>
    <w:link w:val="38"/>
    <w:qFormat/>
    <w:uiPriority w:val="0"/>
    <w:rPr>
      <w:rFonts w:ascii="Times New Roman" w:hAnsi="Times New Roman" w:eastAsia="仿宋_GB2312" w:cs="Times New Roman"/>
      <w:color w:val="000000"/>
      <w:sz w:val="24"/>
      <w:szCs w:val="28"/>
    </w:rPr>
  </w:style>
  <w:style w:type="paragraph" w:customStyle="1" w:styleId="40">
    <w:name w:val="三级标题lq"/>
    <w:basedOn w:val="36"/>
    <w:link w:val="41"/>
    <w:qFormat/>
    <w:uiPriority w:val="0"/>
    <w:pPr>
      <w:spacing w:beforeLines="0" w:afterLines="0"/>
      <w:outlineLvl w:val="2"/>
    </w:pPr>
    <w:rPr>
      <w:rFonts w:ascii="Times New Roman" w:hAnsi="Times New Roman"/>
    </w:rPr>
  </w:style>
  <w:style w:type="character" w:customStyle="1" w:styleId="41">
    <w:name w:val="三级标题lq Char"/>
    <w:basedOn w:val="37"/>
    <w:link w:val="40"/>
    <w:qFormat/>
    <w:uiPriority w:val="0"/>
    <w:rPr>
      <w:rFonts w:ascii="仿宋_GB2312" w:hAnsi="黑体" w:eastAsia="仿宋_GB2312" w:cs="Times New Roman"/>
      <w:kern w:val="2"/>
      <w:sz w:val="28"/>
      <w:szCs w:val="28"/>
    </w:rPr>
  </w:style>
  <w:style w:type="paragraph" w:customStyle="1" w:styleId="42">
    <w:name w:val="font5"/>
    <w:basedOn w:val="1"/>
    <w:qFormat/>
    <w:uiPriority w:val="0"/>
    <w:pPr>
      <w:widowControl/>
      <w:spacing w:before="100" w:beforeAutospacing="1" w:after="100" w:afterAutospacing="1"/>
      <w:ind w:firstLine="0" w:firstLineChars="0"/>
      <w:jc w:val="left"/>
    </w:pPr>
    <w:rPr>
      <w:rFonts w:ascii="宋体" w:hAnsi="宋体" w:eastAsia="宋体" w:cs="宋体"/>
      <w:color w:val="000000"/>
      <w:kern w:val="0"/>
      <w:sz w:val="21"/>
      <w:szCs w:val="21"/>
    </w:rPr>
  </w:style>
  <w:style w:type="paragraph" w:customStyle="1" w:styleId="43">
    <w:name w:val="font6"/>
    <w:basedOn w:val="1"/>
    <w:qFormat/>
    <w:uiPriority w:val="0"/>
    <w:pPr>
      <w:widowControl/>
      <w:spacing w:before="100" w:beforeAutospacing="1" w:after="100" w:afterAutospacing="1"/>
      <w:ind w:firstLine="0" w:firstLineChars="0"/>
      <w:jc w:val="left"/>
    </w:pPr>
    <w:rPr>
      <w:rFonts w:eastAsia="宋体" w:cs="Times New Roman"/>
      <w:color w:val="000000"/>
      <w:kern w:val="0"/>
      <w:sz w:val="21"/>
      <w:szCs w:val="21"/>
    </w:rPr>
  </w:style>
  <w:style w:type="paragraph" w:customStyle="1" w:styleId="44">
    <w:name w:val="font7"/>
    <w:basedOn w:val="1"/>
    <w:qFormat/>
    <w:uiPriority w:val="0"/>
    <w:pPr>
      <w:widowControl/>
      <w:spacing w:before="100" w:beforeAutospacing="1" w:after="100" w:afterAutospacing="1"/>
      <w:ind w:firstLine="0" w:firstLineChars="0"/>
      <w:jc w:val="left"/>
    </w:pPr>
    <w:rPr>
      <w:rFonts w:ascii="宋体" w:hAnsi="宋体" w:eastAsia="宋体" w:cs="宋体"/>
      <w:kern w:val="0"/>
      <w:sz w:val="18"/>
      <w:szCs w:val="18"/>
    </w:rPr>
  </w:style>
  <w:style w:type="paragraph" w:customStyle="1" w:styleId="45">
    <w:name w:val="font8"/>
    <w:basedOn w:val="1"/>
    <w:qFormat/>
    <w:uiPriority w:val="0"/>
    <w:pPr>
      <w:widowControl/>
      <w:spacing w:before="100" w:beforeAutospacing="1" w:after="100" w:afterAutospacing="1"/>
      <w:ind w:firstLine="0" w:firstLineChars="0"/>
      <w:jc w:val="left"/>
    </w:pPr>
    <w:rPr>
      <w:rFonts w:ascii="仿宋_GB2312" w:hAnsi="宋体" w:cs="宋体"/>
      <w:color w:val="000000"/>
      <w:kern w:val="0"/>
      <w:sz w:val="21"/>
      <w:szCs w:val="21"/>
    </w:rPr>
  </w:style>
  <w:style w:type="paragraph" w:customStyle="1" w:styleId="46">
    <w:name w:val="font9"/>
    <w:basedOn w:val="1"/>
    <w:qFormat/>
    <w:uiPriority w:val="0"/>
    <w:pPr>
      <w:widowControl/>
      <w:spacing w:before="100" w:beforeAutospacing="1" w:after="100" w:afterAutospacing="1"/>
      <w:ind w:firstLine="0" w:firstLineChars="0"/>
      <w:jc w:val="left"/>
    </w:pPr>
    <w:rPr>
      <w:rFonts w:ascii="仿宋_GB2312" w:hAnsi="宋体" w:cs="宋体"/>
      <w:kern w:val="0"/>
      <w:sz w:val="21"/>
      <w:szCs w:val="21"/>
    </w:rPr>
  </w:style>
  <w:style w:type="paragraph" w:customStyle="1" w:styleId="47">
    <w:name w:val="xl6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ind w:firstLine="0" w:firstLineChars="0"/>
      <w:jc w:val="center"/>
    </w:pPr>
    <w:rPr>
      <w:rFonts w:ascii="仿宋_GB2312" w:hAnsi="宋体" w:cs="宋体"/>
      <w:color w:val="000000"/>
      <w:kern w:val="0"/>
      <w:sz w:val="21"/>
      <w:szCs w:val="21"/>
    </w:rPr>
  </w:style>
  <w:style w:type="paragraph" w:customStyle="1" w:styleId="48">
    <w:name w:val="xl69"/>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pPr>
    <w:rPr>
      <w:rFonts w:ascii="仿宋_GB2312" w:hAnsi="宋体" w:cs="宋体"/>
      <w:color w:val="000000"/>
      <w:kern w:val="0"/>
      <w:sz w:val="21"/>
      <w:szCs w:val="21"/>
    </w:rPr>
  </w:style>
  <w:style w:type="paragraph" w:customStyle="1" w:styleId="49">
    <w:name w:val="xl70"/>
    <w:basedOn w:val="1"/>
    <w:qFormat/>
    <w:uiPriority w:val="0"/>
    <w:pPr>
      <w:widowControl/>
      <w:pBdr>
        <w:top w:val="single" w:color="auto" w:sz="8" w:space="0"/>
        <w:bottom w:val="single" w:color="auto" w:sz="8" w:space="0"/>
        <w:right w:val="single" w:color="auto" w:sz="8" w:space="0"/>
      </w:pBdr>
      <w:spacing w:before="100" w:beforeAutospacing="1" w:after="100" w:afterAutospacing="1"/>
      <w:ind w:firstLine="0" w:firstLineChars="0"/>
      <w:jc w:val="center"/>
      <w:textAlignment w:val="top"/>
    </w:pPr>
    <w:rPr>
      <w:rFonts w:ascii="仿宋_GB2312" w:hAnsi="宋体" w:cs="宋体"/>
      <w:color w:val="000000"/>
      <w:kern w:val="0"/>
      <w:sz w:val="21"/>
      <w:szCs w:val="21"/>
    </w:rPr>
  </w:style>
  <w:style w:type="paragraph" w:customStyle="1" w:styleId="50">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ind w:firstLine="0" w:firstLineChars="0"/>
      <w:jc w:val="center"/>
    </w:pPr>
    <w:rPr>
      <w:rFonts w:eastAsia="宋体" w:cs="Times New Roman"/>
      <w:color w:val="000000"/>
      <w:kern w:val="0"/>
      <w:sz w:val="21"/>
      <w:szCs w:val="21"/>
    </w:rPr>
  </w:style>
  <w:style w:type="paragraph" w:customStyle="1" w:styleId="51">
    <w:name w:val="xl72"/>
    <w:basedOn w:val="1"/>
    <w:qFormat/>
    <w:uiPriority w:val="0"/>
    <w:pPr>
      <w:widowControl/>
      <w:pBdr>
        <w:bottom w:val="single" w:color="auto" w:sz="8" w:space="0"/>
        <w:right w:val="single" w:color="auto" w:sz="8" w:space="0"/>
      </w:pBdr>
      <w:spacing w:before="100" w:beforeAutospacing="1" w:after="100" w:afterAutospacing="1"/>
      <w:ind w:firstLine="0" w:firstLineChars="0"/>
      <w:jc w:val="center"/>
    </w:pPr>
    <w:rPr>
      <w:rFonts w:eastAsia="宋体" w:cs="Times New Roman"/>
      <w:color w:val="000000"/>
      <w:kern w:val="0"/>
      <w:sz w:val="21"/>
      <w:szCs w:val="21"/>
    </w:rPr>
  </w:style>
  <w:style w:type="paragraph" w:customStyle="1" w:styleId="52">
    <w:name w:val="xl73"/>
    <w:basedOn w:val="1"/>
    <w:qFormat/>
    <w:uiPriority w:val="0"/>
    <w:pPr>
      <w:widowControl/>
      <w:pBdr>
        <w:bottom w:val="single" w:color="auto" w:sz="8" w:space="0"/>
        <w:right w:val="single" w:color="auto" w:sz="8" w:space="0"/>
      </w:pBdr>
      <w:spacing w:before="100" w:beforeAutospacing="1" w:after="100" w:afterAutospacing="1"/>
      <w:ind w:firstLine="0" w:firstLineChars="0"/>
      <w:jc w:val="center"/>
    </w:pPr>
    <w:rPr>
      <w:rFonts w:ascii="仿宋_GB2312" w:hAnsi="宋体" w:cs="宋体"/>
      <w:color w:val="000000"/>
      <w:kern w:val="0"/>
      <w:sz w:val="21"/>
      <w:szCs w:val="21"/>
    </w:rPr>
  </w:style>
  <w:style w:type="paragraph" w:customStyle="1" w:styleId="53">
    <w:name w:val="xl74"/>
    <w:basedOn w:val="1"/>
    <w:qFormat/>
    <w:uiPriority w:val="0"/>
    <w:pPr>
      <w:widowControl/>
      <w:pBdr>
        <w:bottom w:val="single" w:color="auto" w:sz="8" w:space="0"/>
        <w:right w:val="single" w:color="auto" w:sz="8" w:space="0"/>
      </w:pBdr>
      <w:spacing w:before="100" w:beforeAutospacing="1" w:after="100" w:afterAutospacing="1"/>
      <w:ind w:firstLine="0" w:firstLineChars="0"/>
      <w:jc w:val="center"/>
      <w:textAlignment w:val="top"/>
    </w:pPr>
    <w:rPr>
      <w:rFonts w:eastAsia="宋体" w:cs="Times New Roman"/>
      <w:color w:val="000000"/>
      <w:kern w:val="0"/>
      <w:sz w:val="21"/>
      <w:szCs w:val="21"/>
    </w:rPr>
  </w:style>
  <w:style w:type="paragraph" w:customStyle="1" w:styleId="54">
    <w:name w:val="xl75"/>
    <w:basedOn w:val="1"/>
    <w:qFormat/>
    <w:uiPriority w:val="0"/>
    <w:pPr>
      <w:widowControl/>
      <w:pBdr>
        <w:bottom w:val="single" w:color="auto" w:sz="8" w:space="0"/>
        <w:right w:val="single" w:color="auto" w:sz="8" w:space="0"/>
      </w:pBdr>
      <w:spacing w:before="100" w:beforeAutospacing="1" w:after="100" w:afterAutospacing="1"/>
      <w:ind w:firstLine="0" w:firstLineChars="0"/>
      <w:jc w:val="left"/>
    </w:pPr>
    <w:rPr>
      <w:rFonts w:ascii="Calibri" w:hAnsi="Calibri" w:eastAsia="宋体" w:cs="宋体"/>
      <w:kern w:val="0"/>
      <w:sz w:val="21"/>
      <w:szCs w:val="21"/>
    </w:rPr>
  </w:style>
  <w:style w:type="paragraph" w:customStyle="1" w:styleId="55">
    <w:name w:val="xl76"/>
    <w:basedOn w:val="1"/>
    <w:qFormat/>
    <w:uiPriority w:val="0"/>
    <w:pPr>
      <w:widowControl/>
      <w:pBdr>
        <w:bottom w:val="single" w:color="auto" w:sz="8" w:space="0"/>
        <w:right w:val="single" w:color="auto" w:sz="8" w:space="0"/>
      </w:pBdr>
      <w:spacing w:before="100" w:beforeAutospacing="1" w:after="100" w:afterAutospacing="1"/>
      <w:ind w:firstLine="0" w:firstLineChars="0"/>
      <w:jc w:val="center"/>
    </w:pPr>
    <w:rPr>
      <w:rFonts w:eastAsia="宋体" w:cs="Times New Roman"/>
      <w:kern w:val="0"/>
      <w:sz w:val="21"/>
      <w:szCs w:val="21"/>
    </w:rPr>
  </w:style>
  <w:style w:type="paragraph" w:customStyle="1" w:styleId="56">
    <w:name w:val="xl77"/>
    <w:basedOn w:val="1"/>
    <w:qFormat/>
    <w:uiPriority w:val="0"/>
    <w:pPr>
      <w:widowControl/>
      <w:pBdr>
        <w:bottom w:val="single" w:color="auto" w:sz="8" w:space="0"/>
        <w:right w:val="single" w:color="auto" w:sz="8" w:space="0"/>
      </w:pBdr>
      <w:spacing w:before="100" w:beforeAutospacing="1" w:after="100" w:afterAutospacing="1"/>
      <w:ind w:firstLine="0" w:firstLineChars="0"/>
      <w:jc w:val="center"/>
    </w:pPr>
    <w:rPr>
      <w:rFonts w:ascii="仿宋_GB2312" w:hAnsi="宋体" w:cs="宋体"/>
      <w:kern w:val="0"/>
      <w:sz w:val="21"/>
      <w:szCs w:val="21"/>
    </w:rPr>
  </w:style>
  <w:style w:type="paragraph" w:customStyle="1" w:styleId="57">
    <w:name w:val="xl78"/>
    <w:basedOn w:val="1"/>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customStyle="1" w:styleId="5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黑体" w:hAnsi="黑体" w:eastAsia="黑体" w:cs="宋体"/>
      <w:color w:val="000000"/>
      <w:kern w:val="0"/>
      <w:sz w:val="21"/>
      <w:szCs w:val="21"/>
    </w:rPr>
  </w:style>
  <w:style w:type="paragraph" w:customStyle="1" w:styleId="5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黑体" w:hAnsi="黑体" w:eastAsia="黑体" w:cs="宋体"/>
      <w:color w:val="000000"/>
      <w:kern w:val="0"/>
      <w:sz w:val="21"/>
      <w:szCs w:val="21"/>
    </w:rPr>
  </w:style>
  <w:style w:type="paragraph" w:customStyle="1" w:styleId="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eastAsia="宋体" w:cs="Times New Roman"/>
      <w:color w:val="000000"/>
      <w:kern w:val="0"/>
      <w:sz w:val="21"/>
      <w:szCs w:val="21"/>
    </w:rPr>
  </w:style>
  <w:style w:type="table" w:customStyle="1" w:styleId="61">
    <w:name w:val="网格型1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
    <w:name w:val="xl63"/>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ind w:firstLine="0" w:firstLineChars="0"/>
      <w:jc w:val="center"/>
    </w:pPr>
    <w:rPr>
      <w:rFonts w:ascii="仿宋_GB2312" w:hAnsi="宋体" w:cs="宋体"/>
      <w:kern w:val="0"/>
      <w:sz w:val="24"/>
      <w:szCs w:val="24"/>
    </w:rPr>
  </w:style>
  <w:style w:type="paragraph" w:customStyle="1" w:styleId="63">
    <w:name w:val="xl64"/>
    <w:basedOn w:val="1"/>
    <w:qFormat/>
    <w:uiPriority w:val="0"/>
    <w:pPr>
      <w:widowControl/>
      <w:pBdr>
        <w:top w:val="single" w:color="000000" w:sz="8" w:space="0"/>
        <w:bottom w:val="single" w:color="000000" w:sz="8" w:space="0"/>
        <w:right w:val="single" w:color="000000" w:sz="8" w:space="0"/>
      </w:pBdr>
      <w:spacing w:before="100" w:beforeAutospacing="1" w:after="100" w:afterAutospacing="1"/>
      <w:ind w:firstLine="0" w:firstLineChars="0"/>
      <w:jc w:val="center"/>
    </w:pPr>
    <w:rPr>
      <w:rFonts w:ascii="仿宋_GB2312"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724</Words>
  <Characters>4133</Characters>
  <Lines>34</Lines>
  <Paragraphs>9</Paragraphs>
  <TotalTime>13</TotalTime>
  <ScaleCrop>false</ScaleCrop>
  <LinksUpToDate>false</LinksUpToDate>
  <CharactersWithSpaces>4848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2018-10-31T20:19:00Z</dcterms:created>
  <dc:creator>lenovo</dc:creator>
  <cp:lastModifiedBy>user</cp:lastModifiedBy>
  <cp:lastPrinted>2023-12-28T08:48:00Z</cp:lastPrinted>
  <dcterms:modified xsi:type="dcterms:W3CDTF">2024-01-03T15:46:22Z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