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620" w:lineRule="exact"/>
        <w:ind w:firstLine="0" w:firstLineChars="0"/>
        <w:jc w:val="center"/>
        <w:rPr>
          <w:sz w:val="32"/>
          <w:szCs w:val="32"/>
        </w:rPr>
      </w:pPr>
      <w:bookmarkStart w:id="0" w:name="_Toc501829004"/>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r>
        <w:rPr>
          <w:rFonts w:hint="eastAsia"/>
          <w:sz w:val="32"/>
          <w:szCs w:val="32"/>
        </w:rPr>
        <w:t>川环规</w:t>
      </w:r>
      <w:r>
        <w:rPr>
          <w:sz w:val="32"/>
          <w:szCs w:val="32"/>
        </w:rPr>
        <w:t>〔20</w:t>
      </w:r>
      <w:r>
        <w:rPr>
          <w:rFonts w:hint="eastAsia"/>
          <w:sz w:val="32"/>
          <w:szCs w:val="32"/>
        </w:rPr>
        <w:t>23</w:t>
      </w:r>
      <w:r>
        <w:rPr>
          <w:sz w:val="32"/>
          <w:szCs w:val="32"/>
        </w:rPr>
        <w:t>〕6号</w:t>
      </w:r>
    </w:p>
    <w:p>
      <w:pPr>
        <w:overflowPunct w:val="0"/>
        <w:topLinePunct/>
        <w:adjustRightInd w:val="0"/>
        <w:snapToGrid w:val="0"/>
        <w:spacing w:line="580" w:lineRule="exact"/>
        <w:ind w:firstLine="0" w:firstLineChars="0"/>
        <w:jc w:val="center"/>
        <w:rPr>
          <w:rFonts w:eastAsia="方正小标宋简体" w:cs="Times New Roman"/>
          <w:sz w:val="44"/>
          <w:szCs w:val="44"/>
        </w:rPr>
      </w:pPr>
    </w:p>
    <w:p>
      <w:pPr>
        <w:overflowPunct w:val="0"/>
        <w:topLinePunct/>
        <w:adjustRightInd w:val="0"/>
        <w:snapToGrid w:val="0"/>
        <w:spacing w:line="580" w:lineRule="exact"/>
        <w:ind w:firstLine="0" w:firstLineChars="0"/>
        <w:jc w:val="center"/>
        <w:rPr>
          <w:rFonts w:eastAsia="方正小标宋简体" w:cs="Times New Roman"/>
          <w:sz w:val="44"/>
          <w:szCs w:val="44"/>
        </w:rPr>
      </w:pPr>
    </w:p>
    <w:p>
      <w:pPr>
        <w:overflowPunct w:val="0"/>
        <w:topLinePunct/>
        <w:adjustRightInd w:val="0"/>
        <w:snapToGrid w:val="0"/>
        <w:spacing w:line="580" w:lineRule="exact"/>
        <w:ind w:firstLine="0" w:firstLineChars="0"/>
        <w:jc w:val="center"/>
        <w:rPr>
          <w:rFonts w:eastAsia="方正小标宋简体" w:cs="Times New Roman"/>
          <w:sz w:val="44"/>
          <w:szCs w:val="44"/>
        </w:rPr>
      </w:pPr>
      <w:r>
        <w:rPr>
          <w:rFonts w:eastAsia="方正小标宋简体" w:cs="Times New Roman"/>
          <w:spacing w:val="-8"/>
          <w:kern w:val="0"/>
          <w:sz w:val="44"/>
          <w:szCs w:val="44"/>
        </w:rPr>
        <w:t>关于</w:t>
      </w:r>
      <w:r>
        <w:rPr>
          <w:rFonts w:hint="eastAsia" w:eastAsia="方正小标宋简体" w:cs="Times New Roman"/>
          <w:spacing w:val="-8"/>
          <w:kern w:val="0"/>
          <w:sz w:val="44"/>
          <w:szCs w:val="44"/>
        </w:rPr>
        <w:t>印发</w:t>
      </w:r>
      <w:r>
        <w:rPr>
          <w:rFonts w:eastAsia="方正小标宋简体" w:cs="Times New Roman"/>
          <w:spacing w:val="-8"/>
          <w:kern w:val="0"/>
          <w:sz w:val="44"/>
          <w:szCs w:val="44"/>
        </w:rPr>
        <w:t>《</w:t>
      </w:r>
      <w:r>
        <w:rPr>
          <w:rFonts w:eastAsia="方正小标宋简体" w:cs="Times New Roman"/>
          <w:kern w:val="0"/>
          <w:sz w:val="44"/>
          <w:szCs w:val="44"/>
        </w:rPr>
        <w:t>四川省</w:t>
      </w:r>
      <w:r>
        <w:rPr>
          <w:rFonts w:hint="eastAsia" w:eastAsia="方正小标宋简体" w:cs="Times New Roman"/>
          <w:kern w:val="0"/>
          <w:sz w:val="44"/>
          <w:szCs w:val="44"/>
        </w:rPr>
        <w:t>农用地</w:t>
      </w:r>
      <w:r>
        <w:rPr>
          <w:rFonts w:eastAsia="方正小标宋简体" w:cs="Times New Roman"/>
          <w:kern w:val="0"/>
          <w:sz w:val="44"/>
          <w:szCs w:val="44"/>
        </w:rPr>
        <w:t>土壤环境管理办法</w:t>
      </w:r>
      <w:r>
        <w:rPr>
          <w:rFonts w:eastAsia="方正小标宋简体" w:cs="Times New Roman"/>
          <w:sz w:val="44"/>
          <w:szCs w:val="44"/>
        </w:rPr>
        <w:t>》的</w:t>
      </w:r>
      <w:r>
        <w:rPr>
          <w:rFonts w:hint="eastAsia" w:eastAsia="方正小标宋简体" w:cs="Times New Roman"/>
          <w:sz w:val="44"/>
          <w:szCs w:val="44"/>
        </w:rPr>
        <w:t>通知</w:t>
      </w:r>
    </w:p>
    <w:p>
      <w:pPr>
        <w:overflowPunct w:val="0"/>
        <w:topLinePunct/>
        <w:adjustRightInd w:val="0"/>
        <w:snapToGrid w:val="0"/>
        <w:spacing w:line="580" w:lineRule="exact"/>
        <w:ind w:firstLine="880"/>
        <w:rPr>
          <w:rFonts w:eastAsia="方正小标宋简体" w:cs="Times New Roman"/>
          <w:sz w:val="44"/>
          <w:szCs w:val="44"/>
        </w:rPr>
      </w:pPr>
    </w:p>
    <w:p>
      <w:pPr>
        <w:overflowPunct w:val="0"/>
        <w:topLinePunct/>
        <w:adjustRightInd w:val="0"/>
        <w:snapToGrid w:val="0"/>
        <w:spacing w:line="580" w:lineRule="exact"/>
        <w:ind w:firstLine="0" w:firstLineChars="0"/>
        <w:rPr>
          <w:sz w:val="32"/>
          <w:szCs w:val="32"/>
        </w:rPr>
      </w:pPr>
      <w:r>
        <w:rPr>
          <w:rFonts w:hint="eastAsia"/>
          <w:sz w:val="32"/>
          <w:szCs w:val="32"/>
        </w:rPr>
        <w:t>各市（州）生态环境局、自然资源主管部门、农业（农牧）农村局、林业和草原主管部门：</w:t>
      </w:r>
    </w:p>
    <w:p>
      <w:pPr>
        <w:overflowPunct w:val="0"/>
        <w:topLinePunct/>
        <w:adjustRightInd w:val="0"/>
        <w:snapToGrid w:val="0"/>
        <w:spacing w:line="580" w:lineRule="exact"/>
        <w:ind w:firstLine="640"/>
        <w:rPr>
          <w:sz w:val="32"/>
          <w:szCs w:val="32"/>
        </w:rPr>
      </w:pPr>
      <w:r>
        <w:rPr>
          <w:rFonts w:hint="eastAsia"/>
          <w:sz w:val="32"/>
          <w:szCs w:val="32"/>
        </w:rPr>
        <w:t>为贯彻落实《中华人民共和国土壤污染防治法》《四川省土壤污染防治条例》，加强全省农用地土壤环境管理，保障农产品质量安全，结合我省实际，修订《四川省农用地土壤环境管理办法》，现印发给你们，请遵照执行。</w:t>
      </w: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480" w:firstLineChars="150"/>
        <w:jc w:val="right"/>
        <w:rPr>
          <w:rFonts w:cs="Times New Roman"/>
          <w:kern w:val="0"/>
          <w:sz w:val="32"/>
          <w:szCs w:val="32"/>
        </w:rPr>
      </w:pPr>
      <w:r>
        <w:rPr>
          <w:rFonts w:cs="Times New Roman"/>
          <w:kern w:val="0"/>
          <w:sz w:val="32"/>
          <w:szCs w:val="32"/>
        </w:rPr>
        <w:t>四川省</w:t>
      </w:r>
      <w:r>
        <w:rPr>
          <w:rFonts w:hint="eastAsia" w:cs="Times New Roman"/>
          <w:kern w:val="0"/>
          <w:sz w:val="32"/>
          <w:szCs w:val="32"/>
        </w:rPr>
        <w:t>生态</w:t>
      </w:r>
      <w:r>
        <w:rPr>
          <w:rFonts w:cs="Times New Roman"/>
          <w:kern w:val="0"/>
          <w:sz w:val="32"/>
          <w:szCs w:val="32"/>
        </w:rPr>
        <w:t>环境厅</w:t>
      </w:r>
      <w:r>
        <w:rPr>
          <w:rFonts w:hint="eastAsia" w:cs="Times New Roman"/>
          <w:kern w:val="0"/>
          <w:sz w:val="32"/>
          <w:szCs w:val="32"/>
        </w:rPr>
        <w:t xml:space="preserve"> </w:t>
      </w:r>
      <w:r>
        <w:rPr>
          <w:rFonts w:cs="Times New Roman"/>
          <w:kern w:val="0"/>
          <w:sz w:val="32"/>
          <w:szCs w:val="32"/>
        </w:rPr>
        <w:t xml:space="preserve">            </w:t>
      </w:r>
      <w:r>
        <w:rPr>
          <w:rFonts w:hint="eastAsia" w:cs="Times New Roman"/>
          <w:kern w:val="0"/>
          <w:sz w:val="32"/>
          <w:szCs w:val="32"/>
        </w:rPr>
        <w:t>四川省自然资源厅</w:t>
      </w:r>
    </w:p>
    <w:p>
      <w:pPr>
        <w:tabs>
          <w:tab w:val="left" w:pos="1418"/>
        </w:tabs>
        <w:overflowPunct w:val="0"/>
        <w:topLinePunct/>
        <w:adjustRightInd w:val="0"/>
        <w:snapToGrid w:val="0"/>
        <w:spacing w:line="600" w:lineRule="exact"/>
        <w:ind w:firstLine="480" w:firstLineChars="150"/>
        <w:jc w:val="right"/>
        <w:rPr>
          <w:rFonts w:cs="Times New Roman"/>
          <w:kern w:val="0"/>
          <w:sz w:val="32"/>
          <w:szCs w:val="32"/>
        </w:rPr>
      </w:pPr>
    </w:p>
    <w:p>
      <w:pPr>
        <w:tabs>
          <w:tab w:val="left" w:pos="1418"/>
        </w:tabs>
        <w:overflowPunct w:val="0"/>
        <w:topLinePunct/>
        <w:adjustRightInd w:val="0"/>
        <w:snapToGrid w:val="0"/>
        <w:spacing w:line="600" w:lineRule="exact"/>
        <w:ind w:firstLine="480" w:firstLineChars="150"/>
        <w:jc w:val="right"/>
        <w:rPr>
          <w:rFonts w:cs="Times New Roman"/>
          <w:kern w:val="0"/>
          <w:sz w:val="32"/>
          <w:szCs w:val="32"/>
        </w:rPr>
      </w:pPr>
    </w:p>
    <w:p>
      <w:pPr>
        <w:tabs>
          <w:tab w:val="left" w:pos="1418"/>
        </w:tabs>
        <w:overflowPunct w:val="0"/>
        <w:topLinePunct/>
        <w:adjustRightInd w:val="0"/>
        <w:snapToGrid w:val="0"/>
        <w:spacing w:line="600" w:lineRule="exact"/>
        <w:ind w:firstLine="480" w:firstLineChars="150"/>
        <w:jc w:val="right"/>
        <w:rPr>
          <w:rFonts w:cs="Times New Roman"/>
          <w:kern w:val="0"/>
          <w:sz w:val="32"/>
          <w:szCs w:val="32"/>
        </w:rPr>
      </w:pPr>
    </w:p>
    <w:p>
      <w:pPr>
        <w:tabs>
          <w:tab w:val="left" w:pos="1418"/>
        </w:tabs>
        <w:overflowPunct w:val="0"/>
        <w:topLinePunct/>
        <w:adjustRightInd w:val="0"/>
        <w:snapToGrid w:val="0"/>
        <w:spacing w:line="600" w:lineRule="exact"/>
        <w:ind w:firstLine="480" w:firstLineChars="150"/>
        <w:jc w:val="right"/>
        <w:rPr>
          <w:rFonts w:cs="Times New Roman"/>
          <w:sz w:val="32"/>
          <w:szCs w:val="32"/>
        </w:rPr>
      </w:pPr>
      <w:r>
        <w:rPr>
          <w:rFonts w:hint="eastAsia" w:cs="Times New Roman"/>
          <w:kern w:val="0"/>
          <w:sz w:val="32"/>
          <w:szCs w:val="32"/>
        </w:rPr>
        <w:t xml:space="preserve">四川省农业农村厅  </w:t>
      </w:r>
      <w:r>
        <w:rPr>
          <w:rFonts w:cs="Times New Roman"/>
          <w:kern w:val="0"/>
          <w:sz w:val="32"/>
          <w:szCs w:val="32"/>
        </w:rPr>
        <w:t xml:space="preserve">      </w:t>
      </w:r>
      <w:r>
        <w:rPr>
          <w:rFonts w:hint="eastAsia" w:cs="Times New Roman"/>
          <w:kern w:val="0"/>
          <w:sz w:val="32"/>
          <w:szCs w:val="32"/>
        </w:rPr>
        <w:t xml:space="preserve"> </w:t>
      </w:r>
      <w:r>
        <w:rPr>
          <w:rFonts w:cs="Times New Roman"/>
          <w:kern w:val="0"/>
          <w:sz w:val="32"/>
          <w:szCs w:val="32"/>
        </w:rPr>
        <w:t xml:space="preserve">   </w:t>
      </w:r>
      <w:r>
        <w:rPr>
          <w:rFonts w:hint="eastAsia" w:cs="Times New Roman"/>
          <w:kern w:val="0"/>
          <w:sz w:val="32"/>
          <w:szCs w:val="32"/>
        </w:rPr>
        <w:t>四川省林业和草原局</w:t>
      </w:r>
    </w:p>
    <w:p>
      <w:pPr>
        <w:keepNext w:val="0"/>
        <w:keepLines w:val="0"/>
        <w:pageBreakBefore w:val="0"/>
        <w:widowControl w:val="0"/>
        <w:tabs>
          <w:tab w:val="left" w:pos="2240"/>
        </w:tabs>
        <w:kinsoku/>
        <w:wordWrap/>
        <w:overflowPunct w:val="0"/>
        <w:topLinePunct/>
        <w:autoSpaceDE/>
        <w:autoSpaceDN/>
        <w:bidi w:val="0"/>
        <w:adjustRightInd w:val="0"/>
        <w:snapToGrid w:val="0"/>
        <w:spacing w:line="600" w:lineRule="exact"/>
        <w:ind w:right="0" w:rightChars="0" w:firstLine="0" w:firstLineChars="0"/>
        <w:jc w:val="right"/>
        <w:textAlignment w:val="auto"/>
        <w:rPr>
          <w:rFonts w:cs="Times New Roman"/>
          <w:kern w:val="0"/>
          <w:sz w:val="32"/>
          <w:szCs w:val="32"/>
        </w:rPr>
      </w:pPr>
      <w:r>
        <w:rPr>
          <w:rFonts w:cs="Times New Roman"/>
          <w:kern w:val="0"/>
          <w:sz w:val="32"/>
          <w:szCs w:val="32"/>
        </w:rPr>
        <w:t>20</w:t>
      </w:r>
      <w:r>
        <w:rPr>
          <w:rFonts w:hint="eastAsia" w:cs="Times New Roman"/>
          <w:kern w:val="0"/>
          <w:sz w:val="32"/>
          <w:szCs w:val="32"/>
        </w:rPr>
        <w:t>23</w:t>
      </w:r>
      <w:r>
        <w:rPr>
          <w:rFonts w:cs="Times New Roman"/>
          <w:kern w:val="0"/>
          <w:sz w:val="32"/>
          <w:szCs w:val="32"/>
        </w:rPr>
        <w:t>年</w:t>
      </w:r>
      <w:r>
        <w:rPr>
          <w:rFonts w:hint="eastAsia" w:cs="Times New Roman"/>
          <w:kern w:val="0"/>
          <w:sz w:val="32"/>
          <w:szCs w:val="32"/>
        </w:rPr>
        <w:t>12</w:t>
      </w:r>
      <w:r>
        <w:rPr>
          <w:rFonts w:cs="Times New Roman"/>
          <w:kern w:val="0"/>
          <w:sz w:val="32"/>
          <w:szCs w:val="32"/>
        </w:rPr>
        <w:t>月</w:t>
      </w:r>
      <w:r>
        <w:rPr>
          <w:rFonts w:hint="eastAsia" w:cs="Times New Roman"/>
          <w:kern w:val="0"/>
          <w:sz w:val="32"/>
          <w:szCs w:val="32"/>
        </w:rPr>
        <w:t>22日</w:t>
      </w:r>
    </w:p>
    <w:p>
      <w:pPr>
        <w:overflowPunct w:val="0"/>
        <w:topLinePunct/>
        <w:adjustRightInd w:val="0"/>
        <w:snapToGrid w:val="0"/>
        <w:spacing w:line="600" w:lineRule="exact"/>
        <w:ind w:right="1120" w:rightChars="400" w:firstLine="0" w:firstLineChars="0"/>
        <w:jc w:val="right"/>
        <w:rPr>
          <w:rFonts w:cs="Times New Roman"/>
          <w:b/>
          <w:sz w:val="44"/>
          <w:szCs w:val="44"/>
        </w:rPr>
      </w:pPr>
    </w:p>
    <w:p>
      <w:pPr>
        <w:overflowPunct w:val="0"/>
        <w:topLinePunct/>
        <w:adjustRightInd w:val="0"/>
        <w:snapToGrid w:val="0"/>
        <w:spacing w:line="600" w:lineRule="exact"/>
        <w:ind w:firstLine="640"/>
        <w:jc w:val="left"/>
        <w:outlineLvl w:val="0"/>
        <w:rPr>
          <w:rFonts w:eastAsia="黑体" w:cs="Times New Roman"/>
          <w:bCs/>
          <w:kern w:val="0"/>
          <w:sz w:val="32"/>
          <w:szCs w:val="32"/>
        </w:rPr>
      </w:pPr>
    </w:p>
    <w:p>
      <w:pPr>
        <w:overflowPunct w:val="0"/>
        <w:topLinePunct/>
        <w:spacing w:line="600" w:lineRule="exact"/>
        <w:ind w:firstLine="0" w:firstLineChars="0"/>
        <w:jc w:val="left"/>
        <w:rPr>
          <w:rFonts w:eastAsia="方正小标宋简体" w:cs="Times New Roman"/>
          <w:kern w:val="0"/>
          <w:sz w:val="44"/>
          <w:szCs w:val="44"/>
        </w:rPr>
      </w:pPr>
      <w:r>
        <w:rPr>
          <w:rFonts w:eastAsia="方正小标宋简体" w:cs="Times New Roman"/>
          <w:kern w:val="0"/>
          <w:sz w:val="44"/>
          <w:szCs w:val="44"/>
        </w:rPr>
        <w:br w:type="page"/>
      </w:r>
    </w:p>
    <w:bookmarkEnd w:id="0"/>
    <w:p>
      <w:pPr>
        <w:suppressAutoHyphens/>
        <w:overflowPunct w:val="0"/>
        <w:topLinePunct/>
        <w:adjustRightInd w:val="0"/>
        <w:snapToGrid w:val="0"/>
        <w:spacing w:line="600" w:lineRule="exact"/>
        <w:ind w:firstLine="0" w:firstLineChars="0"/>
        <w:jc w:val="center"/>
        <w:rPr>
          <w:rFonts w:eastAsia="方正小标宋简体" w:cs="Times New Roman"/>
          <w:kern w:val="0"/>
          <w:sz w:val="44"/>
          <w:szCs w:val="44"/>
        </w:rPr>
      </w:pPr>
      <w:r>
        <w:rPr>
          <w:rFonts w:eastAsia="方正小标宋简体" w:cs="Times New Roman"/>
          <w:kern w:val="0"/>
          <w:sz w:val="44"/>
          <w:szCs w:val="44"/>
        </w:rPr>
        <w:t>四川省农用地土壤环境管理办法</w:t>
      </w:r>
    </w:p>
    <w:p>
      <w:pPr>
        <w:suppressAutoHyphens/>
        <w:overflowPunct w:val="0"/>
        <w:topLinePunct/>
        <w:adjustRightInd w:val="0"/>
        <w:snapToGrid w:val="0"/>
        <w:spacing w:line="600" w:lineRule="exact"/>
        <w:ind w:firstLine="0" w:firstLineChars="0"/>
        <w:jc w:val="center"/>
        <w:rPr>
          <w:rFonts w:eastAsia="方正小标宋简体" w:cs="Times New Roman"/>
          <w:kern w:val="0"/>
          <w:sz w:val="44"/>
          <w:szCs w:val="44"/>
        </w:rPr>
      </w:pPr>
    </w:p>
    <w:p>
      <w:pPr>
        <w:suppressAutoHyphens/>
        <w:overflowPunct w:val="0"/>
        <w:topLinePunct/>
        <w:adjustRightInd w:val="0"/>
        <w:snapToGrid w:val="0"/>
        <w:spacing w:line="600" w:lineRule="exact"/>
        <w:ind w:firstLine="643"/>
        <w:rPr>
          <w:rFonts w:cs="Times New Roman"/>
          <w:sz w:val="32"/>
          <w:szCs w:val="32"/>
        </w:rPr>
      </w:pPr>
      <w:bookmarkStart w:id="1" w:name="_Toc135734345"/>
      <w:r>
        <w:rPr>
          <w:rFonts w:cs="Times New Roman"/>
          <w:b/>
          <w:bCs/>
          <w:sz w:val="32"/>
          <w:szCs w:val="32"/>
        </w:rPr>
        <w:t>第一条</w:t>
      </w:r>
      <w:r>
        <w:rPr>
          <w:rFonts w:hint="eastAsia" w:cs="Times New Roman"/>
          <w:sz w:val="32"/>
          <w:szCs w:val="32"/>
        </w:rPr>
        <w:t>　</w:t>
      </w:r>
      <w:r>
        <w:rPr>
          <w:rFonts w:cs="Times New Roman"/>
          <w:sz w:val="32"/>
          <w:szCs w:val="32"/>
        </w:rPr>
        <w:t>为加强全省农用地土壤生态环境监督管理，保护农用地土壤环境，管控农用地土壤环境风险，根据《中华人民共和国土壤污染防治法》《四川省土壤污染防治条例》等法律法规</w:t>
      </w:r>
      <w:r>
        <w:rPr>
          <w:rFonts w:hint="eastAsia" w:cs="Times New Roman"/>
          <w:sz w:val="32"/>
          <w:szCs w:val="32"/>
        </w:rPr>
        <w:t>规定</w:t>
      </w:r>
      <w:r>
        <w:rPr>
          <w:rFonts w:cs="Times New Roman"/>
          <w:sz w:val="32"/>
          <w:szCs w:val="32"/>
        </w:rPr>
        <w:t>，制定本办法。</w:t>
      </w:r>
      <w:bookmarkEnd w:id="1"/>
    </w:p>
    <w:p>
      <w:pPr>
        <w:suppressAutoHyphens/>
        <w:overflowPunct w:val="0"/>
        <w:topLinePunct/>
        <w:adjustRightInd w:val="0"/>
        <w:snapToGrid w:val="0"/>
        <w:spacing w:line="600" w:lineRule="exact"/>
        <w:ind w:firstLine="643"/>
        <w:rPr>
          <w:rFonts w:cs="Times New Roman"/>
          <w:sz w:val="32"/>
          <w:szCs w:val="32"/>
        </w:rPr>
      </w:pPr>
      <w:bookmarkStart w:id="2" w:name="_Toc135734346"/>
      <w:r>
        <w:rPr>
          <w:rFonts w:cs="Times New Roman"/>
          <w:b/>
          <w:bCs/>
          <w:sz w:val="32"/>
          <w:szCs w:val="32"/>
        </w:rPr>
        <w:t>第二条</w:t>
      </w:r>
      <w:r>
        <w:rPr>
          <w:rFonts w:hint="eastAsia" w:cs="Times New Roman"/>
          <w:sz w:val="32"/>
          <w:szCs w:val="32"/>
        </w:rPr>
        <w:t>　</w:t>
      </w:r>
      <w:r>
        <w:rPr>
          <w:rFonts w:cs="Times New Roman"/>
          <w:sz w:val="32"/>
          <w:szCs w:val="32"/>
        </w:rPr>
        <w:t>在四川省行政区域内从事</w:t>
      </w:r>
      <w:r>
        <w:rPr>
          <w:rFonts w:hint="eastAsia" w:cs="Times New Roman"/>
          <w:sz w:val="32"/>
          <w:szCs w:val="32"/>
        </w:rPr>
        <w:t>农用地</w:t>
      </w:r>
      <w:r>
        <w:rPr>
          <w:rFonts w:cs="Times New Roman"/>
          <w:sz w:val="32"/>
          <w:szCs w:val="32"/>
        </w:rPr>
        <w:t>土壤污染防治相关活动及其监督管理，适用本办法。</w:t>
      </w:r>
      <w:bookmarkEnd w:id="2"/>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前款农用地土壤污染防治相关活动，是指对农用地开展的土壤污染预防、土壤污染状况调查、环境监测、环境质量类别划分、分类管理等活动。</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农用地是指直接用于农业生产的土地，包括耕地、园地、林地、草地</w:t>
      </w:r>
      <w:r>
        <w:rPr>
          <w:rFonts w:hint="eastAsia" w:cs="Times New Roman"/>
          <w:sz w:val="32"/>
          <w:szCs w:val="32"/>
        </w:rPr>
        <w:t>、农田水利用地、养殖水面</w:t>
      </w:r>
      <w:r>
        <w:rPr>
          <w:rFonts w:cs="Times New Roman"/>
          <w:sz w:val="32"/>
          <w:szCs w:val="32"/>
        </w:rPr>
        <w:t>等。</w:t>
      </w:r>
    </w:p>
    <w:p>
      <w:pPr>
        <w:suppressAutoHyphens/>
        <w:overflowPunct w:val="0"/>
        <w:topLinePunct/>
        <w:adjustRightInd w:val="0"/>
        <w:snapToGrid w:val="0"/>
        <w:spacing w:line="600" w:lineRule="exact"/>
        <w:ind w:firstLine="643"/>
        <w:rPr>
          <w:rFonts w:cs="Times New Roman"/>
          <w:sz w:val="32"/>
          <w:szCs w:val="32"/>
        </w:rPr>
      </w:pPr>
      <w:bookmarkStart w:id="3" w:name="_Toc135734347"/>
      <w:r>
        <w:rPr>
          <w:rFonts w:cs="Times New Roman"/>
          <w:b/>
          <w:bCs/>
          <w:sz w:val="32"/>
          <w:szCs w:val="32"/>
        </w:rPr>
        <w:t>第三条</w:t>
      </w:r>
      <w:bookmarkEnd w:id="3"/>
      <w:bookmarkStart w:id="4" w:name="_Toc135734348"/>
      <w:r>
        <w:rPr>
          <w:rFonts w:hint="eastAsia" w:cs="Times New Roman"/>
          <w:sz w:val="32"/>
          <w:szCs w:val="32"/>
        </w:rPr>
        <w:t>　省、市级生态环境主管部门</w:t>
      </w:r>
      <w:r>
        <w:rPr>
          <w:rFonts w:cs="Times New Roman"/>
          <w:sz w:val="32"/>
          <w:szCs w:val="32"/>
        </w:rPr>
        <w:t>对本行政区域</w:t>
      </w:r>
      <w:r>
        <w:rPr>
          <w:rFonts w:hint="eastAsia" w:cs="Times New Roman"/>
          <w:sz w:val="32"/>
          <w:szCs w:val="32"/>
        </w:rPr>
        <w:t>内农用地</w:t>
      </w:r>
      <w:r>
        <w:rPr>
          <w:rFonts w:cs="Times New Roman"/>
          <w:sz w:val="32"/>
          <w:szCs w:val="32"/>
        </w:rPr>
        <w:t>土壤污染防治工作实施统一监督管理。</w:t>
      </w:r>
    </w:p>
    <w:p>
      <w:pPr>
        <w:overflowPunct w:val="0"/>
        <w:topLinePunct/>
        <w:spacing w:line="600" w:lineRule="exact"/>
        <w:ind w:firstLine="616"/>
        <w:rPr>
          <w:rFonts w:cs="Times New Roman"/>
          <w:spacing w:val="-6"/>
          <w:sz w:val="32"/>
          <w:szCs w:val="20"/>
        </w:rPr>
      </w:pPr>
      <w:r>
        <w:rPr>
          <w:rFonts w:hint="eastAsia" w:cs="Times New Roman"/>
          <w:spacing w:val="-6"/>
          <w:sz w:val="32"/>
          <w:szCs w:val="20"/>
        </w:rPr>
        <w:t>县级以上自然资源、农业农村、林业和草原等主管部门，在各自职责范围内对农用地土壤污染防治工作实施监督管理。</w:t>
      </w:r>
    </w:p>
    <w:bookmarkEnd w:id="4"/>
    <w:p>
      <w:pPr>
        <w:suppressAutoHyphens/>
        <w:overflowPunct w:val="0"/>
        <w:topLinePunct/>
        <w:adjustRightInd w:val="0"/>
        <w:snapToGrid w:val="0"/>
        <w:spacing w:line="600" w:lineRule="exact"/>
        <w:ind w:firstLine="643"/>
        <w:rPr>
          <w:rFonts w:cs="Times New Roman"/>
          <w:sz w:val="32"/>
          <w:szCs w:val="32"/>
        </w:rPr>
      </w:pPr>
      <w:bookmarkStart w:id="5" w:name="_Toc135734349"/>
      <w:r>
        <w:rPr>
          <w:rFonts w:cs="Times New Roman"/>
          <w:b/>
          <w:bCs/>
          <w:sz w:val="32"/>
          <w:szCs w:val="32"/>
        </w:rPr>
        <w:t>第</w:t>
      </w:r>
      <w:r>
        <w:rPr>
          <w:rFonts w:hint="eastAsia" w:cs="Times New Roman"/>
          <w:b/>
          <w:bCs/>
          <w:sz w:val="32"/>
          <w:szCs w:val="32"/>
        </w:rPr>
        <w:t>四</w:t>
      </w:r>
      <w:r>
        <w:rPr>
          <w:rFonts w:cs="Times New Roman"/>
          <w:b/>
          <w:bCs/>
          <w:sz w:val="32"/>
          <w:szCs w:val="32"/>
        </w:rPr>
        <w:t>条</w:t>
      </w:r>
      <w:bookmarkEnd w:id="5"/>
      <w:r>
        <w:rPr>
          <w:rFonts w:hint="eastAsia" w:cs="Times New Roman"/>
          <w:b/>
          <w:bCs/>
          <w:sz w:val="32"/>
          <w:szCs w:val="32"/>
        </w:rPr>
        <w:t>　</w:t>
      </w:r>
      <w:r>
        <w:rPr>
          <w:rFonts w:cs="Times New Roman"/>
          <w:sz w:val="32"/>
          <w:szCs w:val="32"/>
        </w:rPr>
        <w:t>从事农用地</w:t>
      </w:r>
      <w:r>
        <w:rPr>
          <w:rFonts w:hint="eastAsia" w:cs="Times New Roman"/>
          <w:sz w:val="32"/>
          <w:szCs w:val="32"/>
        </w:rPr>
        <w:t>开发利用</w:t>
      </w:r>
      <w:bookmarkStart w:id="6" w:name="_Hlk146007982"/>
      <w:r>
        <w:rPr>
          <w:rFonts w:cs="Times New Roman"/>
          <w:sz w:val="32"/>
          <w:szCs w:val="32"/>
        </w:rPr>
        <w:t>活动或者生产经营活动</w:t>
      </w:r>
      <w:bookmarkEnd w:id="6"/>
      <w:r>
        <w:rPr>
          <w:rFonts w:cs="Times New Roman"/>
          <w:sz w:val="32"/>
          <w:szCs w:val="32"/>
        </w:rPr>
        <w:t>的组织和个人，应当采取有效措施，防止农用地土壤污染，对所造成的土壤污染依法承担责任。</w:t>
      </w:r>
    </w:p>
    <w:p>
      <w:pPr>
        <w:suppressAutoHyphens/>
        <w:overflowPunct w:val="0"/>
        <w:topLinePunct/>
        <w:adjustRightInd w:val="0"/>
        <w:snapToGrid w:val="0"/>
        <w:spacing w:line="600" w:lineRule="exact"/>
        <w:ind w:firstLine="643"/>
        <w:rPr>
          <w:rFonts w:cs="Times New Roman"/>
          <w:sz w:val="32"/>
          <w:szCs w:val="32"/>
        </w:rPr>
      </w:pPr>
      <w:bookmarkStart w:id="7" w:name="_Toc135734350"/>
      <w:r>
        <w:rPr>
          <w:rFonts w:cs="Times New Roman"/>
          <w:b/>
          <w:bCs/>
          <w:sz w:val="32"/>
          <w:szCs w:val="32"/>
        </w:rPr>
        <w:t>第</w:t>
      </w:r>
      <w:r>
        <w:rPr>
          <w:rFonts w:hint="eastAsia" w:cs="Times New Roman"/>
          <w:b/>
          <w:bCs/>
          <w:sz w:val="32"/>
          <w:szCs w:val="32"/>
        </w:rPr>
        <w:t>五</w:t>
      </w:r>
      <w:r>
        <w:rPr>
          <w:rFonts w:cs="Times New Roman"/>
          <w:b/>
          <w:bCs/>
          <w:sz w:val="32"/>
          <w:szCs w:val="32"/>
        </w:rPr>
        <w:t>条</w:t>
      </w:r>
      <w:r>
        <w:rPr>
          <w:rFonts w:hint="eastAsia" w:cs="Times New Roman"/>
          <w:b/>
          <w:bCs/>
          <w:sz w:val="32"/>
          <w:szCs w:val="32"/>
        </w:rPr>
        <w:t>　</w:t>
      </w:r>
      <w:r>
        <w:rPr>
          <w:rFonts w:hint="eastAsia" w:cs="Times New Roman"/>
          <w:sz w:val="32"/>
          <w:szCs w:val="32"/>
        </w:rPr>
        <w:t>省级生态环境主管部门应当会同农业农村、自然资源、林业和草原等主管部门建立全省农用地土壤环境基础数据库。</w:t>
      </w:r>
      <w:r>
        <w:rPr>
          <w:rFonts w:cs="Times New Roman"/>
          <w:sz w:val="32"/>
          <w:szCs w:val="32"/>
        </w:rPr>
        <w:t>各级生态环境、农业农村、林业和草原</w:t>
      </w:r>
      <w:r>
        <w:rPr>
          <w:rFonts w:hint="eastAsia" w:cs="Times New Roman"/>
          <w:sz w:val="32"/>
          <w:szCs w:val="32"/>
        </w:rPr>
        <w:t>等</w:t>
      </w:r>
      <w:r>
        <w:rPr>
          <w:rFonts w:cs="Times New Roman"/>
          <w:sz w:val="32"/>
          <w:szCs w:val="32"/>
        </w:rPr>
        <w:t>主管部门应当按照国家有关规定</w:t>
      </w:r>
      <w:r>
        <w:rPr>
          <w:rFonts w:hint="eastAsia" w:cs="Times New Roman"/>
          <w:sz w:val="32"/>
          <w:szCs w:val="32"/>
        </w:rPr>
        <w:t>，</w:t>
      </w:r>
      <w:r>
        <w:rPr>
          <w:rFonts w:cs="Times New Roman"/>
          <w:sz w:val="32"/>
          <w:szCs w:val="32"/>
        </w:rPr>
        <w:t>加强农用地土壤环境管理信息统计工作，健全农用地土壤环境管理信息档案，定期将农用地分类管理、农业投入品使用及回收、农业绿色防控、风险管控和修复等有关信息上传至四川省土壤环境信息管理平台（以下简称信息管理平台），实行部门信息共享。</w:t>
      </w:r>
      <w:bookmarkEnd w:id="7"/>
    </w:p>
    <w:p>
      <w:pPr>
        <w:suppressAutoHyphens/>
        <w:overflowPunct w:val="0"/>
        <w:topLinePunct/>
        <w:spacing w:line="600" w:lineRule="exact"/>
        <w:ind w:firstLine="640"/>
        <w:rPr>
          <w:rFonts w:eastAsia="宋体" w:cs="Times New Roman"/>
          <w:sz w:val="21"/>
          <w:szCs w:val="32"/>
        </w:rPr>
      </w:pPr>
      <w:r>
        <w:rPr>
          <w:rFonts w:hint="eastAsia" w:cs="Times New Roman"/>
          <w:sz w:val="32"/>
          <w:szCs w:val="32"/>
        </w:rPr>
        <w:t>省级生态环境主管部门负责统一发布全省农用地土壤环境信息，将涉及主要食用农产品、林产品生产区域的重大土壤环境信息，及时通报农业农村、林业和草原、卫生健康和食品安全主管部门。</w:t>
      </w:r>
    </w:p>
    <w:p>
      <w:pPr>
        <w:suppressAutoHyphens/>
        <w:overflowPunct w:val="0"/>
        <w:topLinePunct/>
        <w:adjustRightInd w:val="0"/>
        <w:snapToGrid w:val="0"/>
        <w:spacing w:line="600" w:lineRule="exact"/>
        <w:ind w:firstLine="643"/>
        <w:rPr>
          <w:rFonts w:cs="Times New Roman"/>
          <w:sz w:val="32"/>
          <w:szCs w:val="32"/>
        </w:rPr>
      </w:pPr>
      <w:bookmarkStart w:id="8" w:name="_Toc135734354"/>
      <w:r>
        <w:rPr>
          <w:rFonts w:cs="Times New Roman"/>
          <w:b/>
          <w:bCs/>
          <w:sz w:val="32"/>
          <w:szCs w:val="32"/>
        </w:rPr>
        <w:t>第</w:t>
      </w:r>
      <w:bookmarkEnd w:id="8"/>
      <w:bookmarkStart w:id="9" w:name="_Toc135734356"/>
      <w:r>
        <w:rPr>
          <w:rFonts w:hint="eastAsia" w:cs="Times New Roman"/>
          <w:b/>
          <w:bCs/>
          <w:sz w:val="32"/>
          <w:szCs w:val="32"/>
        </w:rPr>
        <w:t>六</w:t>
      </w:r>
      <w:r>
        <w:rPr>
          <w:rFonts w:cs="Times New Roman"/>
          <w:b/>
          <w:bCs/>
          <w:sz w:val="32"/>
          <w:szCs w:val="32"/>
        </w:rPr>
        <w:t>条</w:t>
      </w:r>
      <w:bookmarkEnd w:id="9"/>
      <w:r>
        <w:rPr>
          <w:rFonts w:hint="eastAsia" w:cs="Times New Roman"/>
          <w:sz w:val="32"/>
          <w:szCs w:val="32"/>
        </w:rPr>
        <w:t>　排放重金属及有机污染物的企业事业单位应当采取有效措施，确保废水、废气排放和固体废物处理、处置符合国家有关规定要求，定期开展土壤污染隐患排查、自行监测，强化土壤环境污染治理及风险管控。</w:t>
      </w:r>
    </w:p>
    <w:p>
      <w:pPr>
        <w:suppressAutoHyphens/>
        <w:overflowPunct w:val="0"/>
        <w:topLinePunct/>
        <w:adjustRightInd w:val="0"/>
        <w:snapToGrid w:val="0"/>
        <w:spacing w:line="600" w:lineRule="exact"/>
        <w:ind w:firstLine="643"/>
        <w:rPr>
          <w:rFonts w:cs="Times New Roman"/>
          <w:sz w:val="32"/>
          <w:szCs w:val="32"/>
        </w:rPr>
      </w:pPr>
      <w:r>
        <w:rPr>
          <w:rFonts w:hint="eastAsia" w:cs="Times New Roman"/>
          <w:b/>
          <w:bCs/>
          <w:sz w:val="32"/>
          <w:szCs w:val="32"/>
        </w:rPr>
        <w:t>第七条　</w:t>
      </w:r>
      <w:r>
        <w:rPr>
          <w:rFonts w:cs="Times New Roman"/>
          <w:sz w:val="32"/>
          <w:szCs w:val="32"/>
        </w:rPr>
        <w:t>各级生态环境主管部门应当会同农业农村等主管部门，持续推进</w:t>
      </w:r>
      <w:r>
        <w:rPr>
          <w:rFonts w:hint="eastAsia" w:cs="Times New Roman"/>
          <w:sz w:val="32"/>
          <w:szCs w:val="32"/>
        </w:rPr>
        <w:t>农用地</w:t>
      </w:r>
      <w:r>
        <w:rPr>
          <w:rFonts w:cs="Times New Roman"/>
          <w:sz w:val="32"/>
          <w:szCs w:val="32"/>
        </w:rPr>
        <w:t>周边涉镉等重金属行业企业、历史遗留</w:t>
      </w:r>
      <w:r>
        <w:rPr>
          <w:rFonts w:hint="eastAsia" w:cs="Times New Roman"/>
          <w:sz w:val="32"/>
          <w:szCs w:val="32"/>
        </w:rPr>
        <w:t>固体废物堆场等重点区域</w:t>
      </w:r>
      <w:r>
        <w:rPr>
          <w:rFonts w:cs="Times New Roman"/>
          <w:sz w:val="32"/>
          <w:szCs w:val="32"/>
        </w:rPr>
        <w:t>排查</w:t>
      </w:r>
      <w:r>
        <w:rPr>
          <w:rFonts w:hint="eastAsia" w:cs="Times New Roman"/>
          <w:sz w:val="32"/>
          <w:szCs w:val="32"/>
        </w:rPr>
        <w:t>，对发现问题及时开展整治</w:t>
      </w:r>
      <w:r>
        <w:rPr>
          <w:rFonts w:cs="Times New Roman"/>
          <w:sz w:val="32"/>
          <w:szCs w:val="32"/>
        </w:rPr>
        <w:t>，</w:t>
      </w:r>
      <w:r>
        <w:rPr>
          <w:rFonts w:hint="eastAsia" w:cs="Times New Roman"/>
          <w:sz w:val="32"/>
          <w:szCs w:val="32"/>
        </w:rPr>
        <w:t>防止对周边农用地土壤造成污染。</w:t>
      </w:r>
    </w:p>
    <w:p>
      <w:pPr>
        <w:suppressAutoHyphens/>
        <w:overflowPunct w:val="0"/>
        <w:topLinePunct/>
        <w:adjustRightInd w:val="0"/>
        <w:snapToGrid w:val="0"/>
        <w:spacing w:line="600" w:lineRule="exact"/>
        <w:ind w:firstLine="643"/>
        <w:rPr>
          <w:rFonts w:cs="Times New Roman"/>
          <w:sz w:val="32"/>
          <w:szCs w:val="32"/>
        </w:rPr>
      </w:pPr>
      <w:bookmarkStart w:id="10" w:name="_Toc135734357"/>
      <w:r>
        <w:rPr>
          <w:rFonts w:cs="Times New Roman"/>
          <w:b/>
          <w:bCs/>
          <w:sz w:val="32"/>
          <w:szCs w:val="32"/>
        </w:rPr>
        <w:t>第</w:t>
      </w:r>
      <w:r>
        <w:rPr>
          <w:rFonts w:hint="eastAsia" w:cs="Times New Roman"/>
          <w:b/>
          <w:bCs/>
          <w:sz w:val="32"/>
          <w:szCs w:val="32"/>
        </w:rPr>
        <w:t>八</w:t>
      </w:r>
      <w:r>
        <w:rPr>
          <w:rFonts w:cs="Times New Roman"/>
          <w:b/>
          <w:bCs/>
          <w:sz w:val="32"/>
          <w:szCs w:val="32"/>
        </w:rPr>
        <w:t>条</w:t>
      </w:r>
      <w:r>
        <w:rPr>
          <w:rFonts w:hint="eastAsia" w:cs="Times New Roman"/>
          <w:b/>
          <w:bCs/>
          <w:sz w:val="32"/>
          <w:szCs w:val="32"/>
        </w:rPr>
        <w:t>　</w:t>
      </w:r>
      <w:r>
        <w:rPr>
          <w:rFonts w:hint="eastAsia" w:cs="Times New Roman"/>
          <w:sz w:val="32"/>
          <w:szCs w:val="32"/>
        </w:rPr>
        <w:t>农用地周边</w:t>
      </w:r>
      <w:bookmarkEnd w:id="10"/>
      <w:r>
        <w:rPr>
          <w:rFonts w:hint="eastAsia" w:cs="Times New Roman"/>
          <w:sz w:val="32"/>
          <w:szCs w:val="32"/>
        </w:rPr>
        <w:t>尾矿库、</w:t>
      </w:r>
      <w:r>
        <w:rPr>
          <w:rFonts w:hint="eastAsia" w:cs="Times New Roman"/>
          <w:spacing w:val="-6"/>
          <w:sz w:val="32"/>
          <w:szCs w:val="32"/>
        </w:rPr>
        <w:t>未纳入尾矿库管理的固体废物堆场、废弃矿井的</w:t>
      </w:r>
      <w:r>
        <w:rPr>
          <w:rFonts w:hint="eastAsia" w:cs="Times New Roman"/>
          <w:sz w:val="32"/>
          <w:szCs w:val="32"/>
        </w:rPr>
        <w:t>运营或管理单位，应当按照规定开展土壤、地下水等污染状况</w:t>
      </w:r>
      <w:r>
        <w:rPr>
          <w:rFonts w:cs="Times New Roman"/>
          <w:sz w:val="32"/>
          <w:szCs w:val="32"/>
        </w:rPr>
        <w:t>调查评估、风险管控和修复。产生、贮存、运输、利用尾矿</w:t>
      </w:r>
      <w:r>
        <w:rPr>
          <w:rFonts w:hint="eastAsia" w:cs="Times New Roman"/>
          <w:sz w:val="32"/>
          <w:szCs w:val="32"/>
        </w:rPr>
        <w:t>等固体废物的单位，</w:t>
      </w:r>
      <w:r>
        <w:rPr>
          <w:rFonts w:cs="Times New Roman"/>
          <w:sz w:val="32"/>
          <w:szCs w:val="32"/>
        </w:rPr>
        <w:t>应当采取措施，防止</w:t>
      </w:r>
      <w:r>
        <w:rPr>
          <w:rFonts w:hint="eastAsia" w:cs="Times New Roman"/>
          <w:sz w:val="32"/>
          <w:szCs w:val="32"/>
        </w:rPr>
        <w:t>扬散、流失、渗漏</w:t>
      </w:r>
      <w:r>
        <w:rPr>
          <w:rFonts w:cs="Times New Roman"/>
          <w:sz w:val="32"/>
          <w:szCs w:val="32"/>
        </w:rPr>
        <w:t>对周边农用地土壤造成污染</w:t>
      </w:r>
      <w:r>
        <w:rPr>
          <w:rFonts w:hint="eastAsia" w:cs="Times New Roman"/>
          <w:sz w:val="32"/>
          <w:szCs w:val="32"/>
        </w:rPr>
        <w:t>。</w:t>
      </w:r>
    </w:p>
    <w:p>
      <w:pPr>
        <w:suppressAutoHyphens/>
        <w:overflowPunct w:val="0"/>
        <w:topLinePunct/>
        <w:adjustRightInd w:val="0"/>
        <w:snapToGrid w:val="0"/>
        <w:spacing w:line="600" w:lineRule="exact"/>
        <w:ind w:firstLine="643"/>
        <w:rPr>
          <w:rFonts w:cs="Times New Roman"/>
          <w:sz w:val="32"/>
          <w:szCs w:val="32"/>
        </w:rPr>
      </w:pPr>
      <w:bookmarkStart w:id="11" w:name="_Toc135734358"/>
      <w:r>
        <w:rPr>
          <w:rFonts w:cs="Times New Roman"/>
          <w:b/>
          <w:bCs/>
          <w:sz w:val="32"/>
          <w:szCs w:val="32"/>
        </w:rPr>
        <w:t>第</w:t>
      </w:r>
      <w:r>
        <w:rPr>
          <w:rFonts w:hint="eastAsia" w:cs="Times New Roman"/>
          <w:b/>
          <w:bCs/>
          <w:sz w:val="32"/>
          <w:szCs w:val="32"/>
        </w:rPr>
        <w:t>九</w:t>
      </w:r>
      <w:r>
        <w:rPr>
          <w:rFonts w:cs="Times New Roman"/>
          <w:b/>
          <w:bCs/>
          <w:sz w:val="32"/>
          <w:szCs w:val="32"/>
        </w:rPr>
        <w:t>条</w:t>
      </w:r>
      <w:r>
        <w:rPr>
          <w:rFonts w:hint="eastAsia" w:cs="Times New Roman"/>
          <w:b/>
          <w:bCs/>
          <w:sz w:val="32"/>
          <w:szCs w:val="32"/>
        </w:rPr>
        <w:t>　</w:t>
      </w:r>
      <w:r>
        <w:rPr>
          <w:rFonts w:cs="Times New Roman"/>
          <w:sz w:val="32"/>
          <w:szCs w:val="32"/>
        </w:rPr>
        <w:t>规模化畜禽养殖的单位和个人，应当按照相关规范要求，</w:t>
      </w:r>
      <w:bookmarkEnd w:id="11"/>
      <w:r>
        <w:rPr>
          <w:rFonts w:hint="eastAsia" w:cs="Times New Roman"/>
          <w:sz w:val="32"/>
          <w:szCs w:val="32"/>
        </w:rPr>
        <w:t>配套与养殖规模、处理工艺相适应的消纳用地，配备必要的粪污收集、贮存、处理和利用设施或者委托从事废弃物综合利用和无害化处理服务的单位代为处置，确保污染物稳定达标排放。规模以下畜禽养殖的单位和个人，应当履行畜禽养殖污染防治和废弃物资源化利用的主体责任，防止畜禽养殖活动对农用地土壤造成污染。</w:t>
      </w:r>
    </w:p>
    <w:p>
      <w:pPr>
        <w:suppressAutoHyphens/>
        <w:overflowPunct w:val="0"/>
        <w:topLinePunct/>
        <w:adjustRightInd w:val="0"/>
        <w:snapToGrid w:val="0"/>
        <w:spacing w:line="600" w:lineRule="exact"/>
        <w:ind w:firstLine="643"/>
        <w:rPr>
          <w:rFonts w:cs="Times New Roman"/>
          <w:spacing w:val="-6"/>
          <w:sz w:val="32"/>
          <w:szCs w:val="20"/>
        </w:rPr>
      </w:pPr>
      <w:bookmarkStart w:id="12" w:name="_Toc135734359"/>
      <w:r>
        <w:rPr>
          <w:rFonts w:cs="Times New Roman"/>
          <w:b/>
          <w:bCs/>
          <w:sz w:val="32"/>
          <w:szCs w:val="32"/>
        </w:rPr>
        <w:t>第</w:t>
      </w:r>
      <w:r>
        <w:rPr>
          <w:rFonts w:hint="eastAsia" w:cs="Times New Roman"/>
          <w:b/>
          <w:bCs/>
          <w:sz w:val="32"/>
          <w:szCs w:val="32"/>
        </w:rPr>
        <w:t>十</w:t>
      </w:r>
      <w:r>
        <w:rPr>
          <w:rFonts w:cs="Times New Roman"/>
          <w:b/>
          <w:bCs/>
          <w:sz w:val="32"/>
          <w:szCs w:val="32"/>
        </w:rPr>
        <w:t>条</w:t>
      </w:r>
      <w:r>
        <w:rPr>
          <w:rFonts w:hint="eastAsia" w:cs="Times New Roman"/>
          <w:b/>
          <w:bCs/>
          <w:sz w:val="32"/>
          <w:szCs w:val="32"/>
        </w:rPr>
        <w:t>　</w:t>
      </w:r>
      <w:r>
        <w:rPr>
          <w:rFonts w:cs="Times New Roman"/>
          <w:sz w:val="32"/>
          <w:szCs w:val="32"/>
        </w:rPr>
        <w:t>各级农业农村主管部门应当引导农业生产者合理使用农药、肥料、兽药、饲料、农膜等农业投入品</w:t>
      </w:r>
      <w:r>
        <w:rPr>
          <w:rFonts w:hint="eastAsia" w:cs="Times New Roman"/>
          <w:sz w:val="32"/>
          <w:szCs w:val="32"/>
        </w:rPr>
        <w:t>，</w:t>
      </w:r>
      <w:bookmarkEnd w:id="12"/>
      <w:r>
        <w:rPr>
          <w:rFonts w:hint="eastAsia" w:cs="Times New Roman"/>
          <w:spacing w:val="-6"/>
          <w:sz w:val="32"/>
          <w:szCs w:val="20"/>
        </w:rPr>
        <w:t>加强农药、化肥使用指导和使用总量控制，督促指导农膜使用者及时回收田间废旧农膜，不得随意弃置、掩埋或焚烧。</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鼓励和支持农业生产者采取下列措施：</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（一）使用低毒、低残留农药及先进喷施技术；</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（二）</w:t>
      </w:r>
      <w:r>
        <w:rPr>
          <w:rFonts w:hint="eastAsia" w:cs="Times New Roman"/>
          <w:sz w:val="32"/>
          <w:szCs w:val="32"/>
        </w:rPr>
        <w:t>使用绿色、高效肥料及先进施肥方式</w:t>
      </w:r>
      <w:r>
        <w:rPr>
          <w:rFonts w:cs="Times New Roman"/>
          <w:sz w:val="32"/>
          <w:szCs w:val="32"/>
        </w:rPr>
        <w:t>；</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（三）采用测土配方施肥</w:t>
      </w:r>
      <w:r>
        <w:rPr>
          <w:rFonts w:hint="eastAsia" w:cs="Times New Roman"/>
          <w:sz w:val="32"/>
          <w:szCs w:val="32"/>
        </w:rPr>
        <w:t>、有机肥替代部分化肥等科学施肥</w:t>
      </w:r>
      <w:r>
        <w:rPr>
          <w:rFonts w:cs="Times New Roman"/>
          <w:sz w:val="32"/>
          <w:szCs w:val="32"/>
        </w:rPr>
        <w:t>技术，生物防治等病虫害绿色防控技术；</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（四）使用全生物降解农膜；</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（五）移除安全利用类耕地产出的秸秆；</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（六）按照规定对酸性土壤等进行改良。</w:t>
      </w:r>
    </w:p>
    <w:p>
      <w:pPr>
        <w:suppressAutoHyphens/>
        <w:overflowPunct w:val="0"/>
        <w:topLinePunct/>
        <w:adjustRightInd w:val="0"/>
        <w:snapToGrid w:val="0"/>
        <w:spacing w:line="600" w:lineRule="exact"/>
        <w:ind w:firstLine="643"/>
        <w:rPr>
          <w:rFonts w:cs="Times New Roman"/>
          <w:sz w:val="32"/>
          <w:szCs w:val="32"/>
        </w:rPr>
      </w:pPr>
      <w:bookmarkStart w:id="13" w:name="_Toc135734362"/>
      <w:r>
        <w:rPr>
          <w:rFonts w:cs="Times New Roman"/>
          <w:b/>
          <w:bCs/>
          <w:sz w:val="32"/>
          <w:szCs w:val="32"/>
        </w:rPr>
        <w:t>第十</w:t>
      </w:r>
      <w:r>
        <w:rPr>
          <w:rFonts w:hint="eastAsia" w:cs="Times New Roman"/>
          <w:b/>
          <w:bCs/>
          <w:sz w:val="32"/>
          <w:szCs w:val="32"/>
        </w:rPr>
        <w:t>一</w:t>
      </w:r>
      <w:r>
        <w:rPr>
          <w:rFonts w:cs="Times New Roman"/>
          <w:b/>
          <w:bCs/>
          <w:sz w:val="32"/>
          <w:szCs w:val="32"/>
        </w:rPr>
        <w:t>条</w:t>
      </w:r>
      <w:r>
        <w:rPr>
          <w:rFonts w:hint="eastAsia" w:cs="Times New Roman"/>
          <w:sz w:val="32"/>
          <w:szCs w:val="32"/>
        </w:rPr>
        <w:t>　</w:t>
      </w:r>
      <w:r>
        <w:rPr>
          <w:rFonts w:cs="Times New Roman"/>
          <w:sz w:val="32"/>
          <w:szCs w:val="32"/>
        </w:rPr>
        <w:t>省级生态环境主管部门应当会同农业农村、自然资源、林业和草原等主管部门建立农用地土壤污染状况定期调查制度，按照国家农用地土壤污染状况调查工作部署，制定全省调查工作方案并组织实施。</w:t>
      </w:r>
      <w:bookmarkEnd w:id="13"/>
    </w:p>
    <w:p>
      <w:pPr>
        <w:suppressAutoHyphens/>
        <w:overflowPunct w:val="0"/>
        <w:topLinePunct/>
        <w:adjustRightInd w:val="0"/>
        <w:snapToGrid w:val="0"/>
        <w:spacing w:line="600" w:lineRule="exact"/>
        <w:ind w:firstLine="643"/>
        <w:rPr>
          <w:rFonts w:cs="Times New Roman"/>
          <w:sz w:val="32"/>
          <w:szCs w:val="32"/>
        </w:rPr>
      </w:pPr>
      <w:bookmarkStart w:id="14" w:name="_Toc135734363"/>
      <w:r>
        <w:rPr>
          <w:rFonts w:cs="Times New Roman"/>
          <w:b/>
          <w:bCs/>
          <w:sz w:val="32"/>
          <w:szCs w:val="32"/>
        </w:rPr>
        <w:t>第十</w:t>
      </w:r>
      <w:r>
        <w:rPr>
          <w:rFonts w:hint="eastAsia" w:cs="Times New Roman"/>
          <w:b/>
          <w:bCs/>
          <w:sz w:val="32"/>
          <w:szCs w:val="32"/>
        </w:rPr>
        <w:t>二</w:t>
      </w:r>
      <w:r>
        <w:rPr>
          <w:rFonts w:cs="Times New Roman"/>
          <w:b/>
          <w:bCs/>
          <w:sz w:val="32"/>
          <w:szCs w:val="32"/>
        </w:rPr>
        <w:t>条</w:t>
      </w:r>
      <w:r>
        <w:rPr>
          <w:rFonts w:hint="eastAsia" w:cs="Times New Roman"/>
          <w:sz w:val="32"/>
          <w:szCs w:val="32"/>
        </w:rPr>
        <w:t>　</w:t>
      </w:r>
      <w:r>
        <w:rPr>
          <w:rFonts w:cs="Times New Roman"/>
          <w:sz w:val="32"/>
          <w:szCs w:val="32"/>
        </w:rPr>
        <w:t>省级生态环境主管部门应当会同农业农村、林业和草原等主管部门建立全省</w:t>
      </w:r>
      <w:r>
        <w:rPr>
          <w:rFonts w:hint="eastAsia" w:cs="Times New Roman"/>
          <w:sz w:val="32"/>
          <w:szCs w:val="32"/>
        </w:rPr>
        <w:t>农用地</w:t>
      </w:r>
      <w:r>
        <w:rPr>
          <w:rFonts w:cs="Times New Roman"/>
          <w:sz w:val="32"/>
          <w:szCs w:val="32"/>
        </w:rPr>
        <w:t>土壤环境质量监测网络，结合国家农用地土壤监测总体布局，统一规划全省农用地土壤环境质量监测点位，制定监测方案并组织实施。每一至三年完成一轮土壤环境风险监控点位监测，每五年完成一轮土壤环境背景点</w:t>
      </w:r>
      <w:r>
        <w:rPr>
          <w:rFonts w:hint="eastAsia" w:cs="Times New Roman"/>
          <w:sz w:val="32"/>
          <w:szCs w:val="32"/>
        </w:rPr>
        <w:t>位</w:t>
      </w:r>
      <w:r>
        <w:rPr>
          <w:rFonts w:cs="Times New Roman"/>
          <w:sz w:val="32"/>
          <w:szCs w:val="32"/>
        </w:rPr>
        <w:t>和基础点</w:t>
      </w:r>
      <w:r>
        <w:rPr>
          <w:rFonts w:hint="eastAsia" w:cs="Times New Roman"/>
          <w:sz w:val="32"/>
          <w:szCs w:val="32"/>
        </w:rPr>
        <w:t>位</w:t>
      </w:r>
      <w:r>
        <w:rPr>
          <w:rFonts w:cs="Times New Roman"/>
          <w:sz w:val="32"/>
          <w:szCs w:val="32"/>
        </w:rPr>
        <w:t>监测，掌握土壤环境质量状况与变化趋势，有关监测结果应当及时上传至信息管理平台。对监测</w:t>
      </w:r>
      <w:r>
        <w:rPr>
          <w:rFonts w:hint="eastAsia" w:cs="Times New Roman"/>
          <w:sz w:val="32"/>
          <w:szCs w:val="32"/>
        </w:rPr>
        <w:t>数据</w:t>
      </w:r>
      <w:r>
        <w:rPr>
          <w:rFonts w:cs="Times New Roman"/>
          <w:sz w:val="32"/>
          <w:szCs w:val="32"/>
        </w:rPr>
        <w:t>发现异常的，应当开展加密监测</w:t>
      </w:r>
      <w:r>
        <w:rPr>
          <w:rFonts w:hint="eastAsia" w:cs="Times New Roman"/>
          <w:sz w:val="32"/>
          <w:szCs w:val="32"/>
        </w:rPr>
        <w:t>及土壤污染风险源排查</w:t>
      </w:r>
      <w:r>
        <w:rPr>
          <w:rFonts w:cs="Times New Roman"/>
          <w:sz w:val="32"/>
          <w:szCs w:val="32"/>
        </w:rPr>
        <w:t>。</w:t>
      </w:r>
      <w:bookmarkEnd w:id="14"/>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农用地土壤环境质量监测点位应当重点布设在粮食生产功能区、重要农产品生产保护区、特色农产品优势区</w:t>
      </w:r>
      <w:r>
        <w:rPr>
          <w:rFonts w:hint="eastAsia" w:cs="Times New Roman"/>
          <w:sz w:val="32"/>
          <w:szCs w:val="32"/>
        </w:rPr>
        <w:t>、</w:t>
      </w:r>
      <w:r>
        <w:rPr>
          <w:rFonts w:cs="Times New Roman"/>
          <w:sz w:val="32"/>
          <w:szCs w:val="32"/>
        </w:rPr>
        <w:t>安全利用类和严格管控类耕地集中区以及污染风险较大的</w:t>
      </w:r>
      <w:r>
        <w:rPr>
          <w:rFonts w:hint="eastAsia" w:cs="Times New Roman"/>
          <w:sz w:val="32"/>
          <w:szCs w:val="32"/>
        </w:rPr>
        <w:t>农用地</w:t>
      </w:r>
      <w:r>
        <w:rPr>
          <w:rFonts w:cs="Times New Roman"/>
          <w:sz w:val="32"/>
          <w:szCs w:val="32"/>
        </w:rPr>
        <w:t>等区域。其中污染风险较大的农</w:t>
      </w:r>
      <w:r>
        <w:rPr>
          <w:rFonts w:hint="eastAsia" w:cs="Times New Roman"/>
          <w:sz w:val="32"/>
          <w:szCs w:val="32"/>
        </w:rPr>
        <w:t>用地</w:t>
      </w:r>
      <w:r>
        <w:rPr>
          <w:rFonts w:cs="Times New Roman"/>
          <w:sz w:val="32"/>
          <w:szCs w:val="32"/>
        </w:rPr>
        <w:t>包括：</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一</w:t>
      </w:r>
      <w:r>
        <w:rPr>
          <w:rFonts w:cs="Times New Roman"/>
          <w:sz w:val="32"/>
          <w:szCs w:val="32"/>
        </w:rPr>
        <w:t>）</w:t>
      </w:r>
      <w:bookmarkStart w:id="15" w:name="_Hlk135557292"/>
      <w:r>
        <w:rPr>
          <w:rFonts w:cs="Times New Roman"/>
          <w:sz w:val="32"/>
          <w:szCs w:val="32"/>
        </w:rPr>
        <w:t>产出农产品</w:t>
      </w:r>
      <w:r>
        <w:rPr>
          <w:rFonts w:hint="eastAsia" w:cs="Times New Roman"/>
          <w:sz w:val="32"/>
          <w:szCs w:val="32"/>
        </w:rPr>
        <w:t>、林产品</w:t>
      </w:r>
      <w:r>
        <w:rPr>
          <w:rFonts w:cs="Times New Roman"/>
          <w:sz w:val="32"/>
          <w:szCs w:val="32"/>
        </w:rPr>
        <w:t>污染物含量超标的</w:t>
      </w:r>
      <w:bookmarkEnd w:id="15"/>
      <w:r>
        <w:rPr>
          <w:rFonts w:cs="Times New Roman"/>
          <w:sz w:val="32"/>
          <w:szCs w:val="32"/>
        </w:rPr>
        <w:t>；</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二</w:t>
      </w:r>
      <w:r>
        <w:rPr>
          <w:rFonts w:cs="Times New Roman"/>
          <w:sz w:val="32"/>
          <w:szCs w:val="32"/>
        </w:rPr>
        <w:t>）作为或者曾作为污水灌溉区的；</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三</w:t>
      </w:r>
      <w:r>
        <w:rPr>
          <w:rFonts w:cs="Times New Roman"/>
          <w:sz w:val="32"/>
          <w:szCs w:val="32"/>
        </w:rPr>
        <w:t>）用于或者曾用于规模化养殖，固体废物堆放、填埋的；</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四</w:t>
      </w:r>
      <w:r>
        <w:rPr>
          <w:rFonts w:cs="Times New Roman"/>
          <w:sz w:val="32"/>
          <w:szCs w:val="32"/>
        </w:rPr>
        <w:t>）曾作为工矿用地或者发生过重大、特大污染事故的；</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五</w:t>
      </w:r>
      <w:r>
        <w:rPr>
          <w:rFonts w:cs="Times New Roman"/>
          <w:sz w:val="32"/>
          <w:szCs w:val="32"/>
        </w:rPr>
        <w:t>）</w:t>
      </w:r>
      <w:r>
        <w:rPr>
          <w:rFonts w:hint="eastAsia" w:cs="Times New Roman"/>
          <w:sz w:val="32"/>
          <w:szCs w:val="32"/>
        </w:rPr>
        <w:t>土壤污染重点监管单位及涉重工业园区、固体废物堆场等周边的；</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w:t>
      </w:r>
      <w:r>
        <w:rPr>
          <w:rFonts w:hint="eastAsia" w:cs="Times New Roman"/>
          <w:sz w:val="32"/>
          <w:szCs w:val="32"/>
        </w:rPr>
        <w:t>六</w:t>
      </w:r>
      <w:r>
        <w:rPr>
          <w:rFonts w:cs="Times New Roman"/>
          <w:sz w:val="32"/>
          <w:szCs w:val="32"/>
        </w:rPr>
        <w:t>）省级农业农村、林业和草原、生态环境、自然资源主管部门规定的其他情形。</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市级生态环境主管部门应当会同农业农村</w:t>
      </w:r>
      <w:r>
        <w:rPr>
          <w:rFonts w:hint="eastAsia" w:cs="Times New Roman"/>
          <w:sz w:val="32"/>
          <w:szCs w:val="32"/>
        </w:rPr>
        <w:t>、林业和草原</w:t>
      </w:r>
      <w:r>
        <w:rPr>
          <w:rFonts w:cs="Times New Roman"/>
          <w:sz w:val="32"/>
          <w:szCs w:val="32"/>
        </w:rPr>
        <w:t>等</w:t>
      </w:r>
      <w:r>
        <w:rPr>
          <w:rFonts w:hint="eastAsia" w:cs="Times New Roman"/>
          <w:sz w:val="32"/>
          <w:szCs w:val="32"/>
        </w:rPr>
        <w:t>主管</w:t>
      </w:r>
      <w:r>
        <w:rPr>
          <w:rFonts w:cs="Times New Roman"/>
          <w:sz w:val="32"/>
          <w:szCs w:val="32"/>
        </w:rPr>
        <w:t>部门，根据工作需要，布设地方农用地土壤环境质量监测点位，增加特征污染物监测项目，提高监测频次</w:t>
      </w:r>
      <w:r>
        <w:rPr>
          <w:rFonts w:hint="eastAsia" w:cs="Times New Roman"/>
          <w:sz w:val="32"/>
          <w:szCs w:val="32"/>
        </w:rPr>
        <w:t>。</w:t>
      </w:r>
      <w:r>
        <w:rPr>
          <w:rFonts w:cs="Times New Roman"/>
          <w:sz w:val="32"/>
          <w:szCs w:val="32"/>
        </w:rPr>
        <w:t>有关监测结果应当及时上传至信息管理平台。</w:t>
      </w:r>
    </w:p>
    <w:p>
      <w:pPr>
        <w:suppressAutoHyphens/>
        <w:overflowPunct w:val="0"/>
        <w:topLinePunct/>
        <w:adjustRightInd w:val="0"/>
        <w:snapToGrid w:val="0"/>
        <w:spacing w:line="600" w:lineRule="exact"/>
        <w:ind w:firstLine="643"/>
        <w:rPr>
          <w:rFonts w:cs="Times New Roman"/>
          <w:sz w:val="32"/>
          <w:szCs w:val="32"/>
        </w:rPr>
      </w:pPr>
      <w:bookmarkStart w:id="16" w:name="_Toc135734364"/>
      <w:r>
        <w:rPr>
          <w:rFonts w:cs="Times New Roman"/>
          <w:b/>
          <w:bCs/>
          <w:sz w:val="32"/>
          <w:szCs w:val="32"/>
        </w:rPr>
        <w:t>第十</w:t>
      </w:r>
      <w:r>
        <w:rPr>
          <w:rFonts w:hint="eastAsia" w:cs="Times New Roman"/>
          <w:b/>
          <w:bCs/>
          <w:sz w:val="32"/>
          <w:szCs w:val="32"/>
        </w:rPr>
        <w:t>三</w:t>
      </w:r>
      <w:r>
        <w:rPr>
          <w:rFonts w:cs="Times New Roman"/>
          <w:b/>
          <w:bCs/>
          <w:sz w:val="32"/>
          <w:szCs w:val="32"/>
        </w:rPr>
        <w:t>条</w:t>
      </w:r>
      <w:r>
        <w:rPr>
          <w:rFonts w:hint="eastAsia" w:cs="Times New Roman"/>
          <w:sz w:val="32"/>
          <w:szCs w:val="32"/>
        </w:rPr>
        <w:t>　</w:t>
      </w:r>
      <w:r>
        <w:rPr>
          <w:rFonts w:cs="Times New Roman"/>
          <w:sz w:val="32"/>
          <w:szCs w:val="32"/>
        </w:rPr>
        <w:t>对土壤污染状况普查、详查、监测、现场检查表明有土壤污染风险的农用地</w:t>
      </w:r>
      <w:r>
        <w:rPr>
          <w:rFonts w:hint="eastAsia" w:cs="Times New Roman"/>
          <w:sz w:val="32"/>
          <w:szCs w:val="32"/>
        </w:rPr>
        <w:t>地块</w:t>
      </w:r>
      <w:r>
        <w:rPr>
          <w:rFonts w:cs="Times New Roman"/>
          <w:sz w:val="32"/>
          <w:szCs w:val="32"/>
        </w:rPr>
        <w:t>，县级</w:t>
      </w:r>
      <w:r>
        <w:rPr>
          <w:rFonts w:hint="eastAsia" w:cs="Times New Roman"/>
          <w:sz w:val="32"/>
          <w:szCs w:val="32"/>
        </w:rPr>
        <w:t>以上</w:t>
      </w:r>
      <w:r>
        <w:rPr>
          <w:rFonts w:cs="Times New Roman"/>
          <w:sz w:val="32"/>
          <w:szCs w:val="32"/>
        </w:rPr>
        <w:t>农业农村、林业和草原主管部门应当会同生态环境、自然资源</w:t>
      </w:r>
      <w:r>
        <w:rPr>
          <w:rFonts w:hint="eastAsia" w:cs="Times New Roman"/>
          <w:sz w:val="32"/>
          <w:szCs w:val="32"/>
        </w:rPr>
        <w:t>等</w:t>
      </w:r>
      <w:r>
        <w:rPr>
          <w:rFonts w:cs="Times New Roman"/>
          <w:sz w:val="32"/>
          <w:szCs w:val="32"/>
        </w:rPr>
        <w:t>主管部门进行土壤污染状况调查。土壤污染状况调查报告应当主要包括</w:t>
      </w:r>
      <w:r>
        <w:rPr>
          <w:rFonts w:hint="eastAsia" w:cs="Times New Roman"/>
          <w:sz w:val="32"/>
          <w:szCs w:val="32"/>
        </w:rPr>
        <w:t>地块</w:t>
      </w:r>
      <w:r>
        <w:rPr>
          <w:rFonts w:cs="Times New Roman"/>
          <w:sz w:val="32"/>
          <w:szCs w:val="32"/>
        </w:rPr>
        <w:t>基本信息、污染类型、污染来源、污染物含量是否超过</w:t>
      </w:r>
      <w:r>
        <w:rPr>
          <w:rFonts w:hint="eastAsia" w:cs="Times New Roman"/>
          <w:sz w:val="32"/>
          <w:szCs w:val="32"/>
        </w:rPr>
        <w:t>农用地</w:t>
      </w:r>
      <w:r>
        <w:rPr>
          <w:rFonts w:cs="Times New Roman"/>
          <w:sz w:val="32"/>
          <w:szCs w:val="32"/>
        </w:rPr>
        <w:t>土壤污染风险管控标准等内容。调查报告应当上传至信息管理平台。</w:t>
      </w:r>
      <w:bookmarkEnd w:id="16"/>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对土壤污染状况调查表明污染物含量超过农用地土壤污染风险管控标准的，</w:t>
      </w:r>
      <w:r>
        <w:rPr>
          <w:rFonts w:hint="eastAsia" w:cs="Times New Roman"/>
          <w:sz w:val="32"/>
          <w:szCs w:val="32"/>
        </w:rPr>
        <w:t>县级以上</w:t>
      </w:r>
      <w:r>
        <w:rPr>
          <w:rFonts w:cs="Times New Roman"/>
          <w:sz w:val="32"/>
          <w:szCs w:val="32"/>
        </w:rPr>
        <w:t>农业农村、林业和草原主管部门应当会同生态环境、自然资源</w:t>
      </w:r>
      <w:r>
        <w:rPr>
          <w:rFonts w:hint="eastAsia" w:cs="Times New Roman"/>
          <w:sz w:val="32"/>
          <w:szCs w:val="32"/>
        </w:rPr>
        <w:t>等</w:t>
      </w:r>
      <w:r>
        <w:rPr>
          <w:rFonts w:cs="Times New Roman"/>
          <w:sz w:val="32"/>
          <w:szCs w:val="32"/>
        </w:rPr>
        <w:t>主管部门</w:t>
      </w:r>
      <w:r>
        <w:rPr>
          <w:rFonts w:hint="eastAsia" w:cs="Times New Roman"/>
          <w:sz w:val="32"/>
          <w:szCs w:val="32"/>
        </w:rPr>
        <w:t>开展</w:t>
      </w:r>
      <w:r>
        <w:rPr>
          <w:rFonts w:cs="Times New Roman"/>
          <w:sz w:val="32"/>
          <w:szCs w:val="32"/>
        </w:rPr>
        <w:t>土壤污染风险评估，按照</w:t>
      </w:r>
      <w:r>
        <w:rPr>
          <w:rFonts w:hint="eastAsia" w:cs="Times New Roman"/>
          <w:sz w:val="32"/>
          <w:szCs w:val="32"/>
        </w:rPr>
        <w:t>评估结果实施</w:t>
      </w:r>
      <w:r>
        <w:rPr>
          <w:rFonts w:cs="Times New Roman"/>
          <w:sz w:val="32"/>
          <w:szCs w:val="32"/>
        </w:rPr>
        <w:t>农用地分类管理。土壤污染风险评估报告应当主要包括污染物状况、土壤和地下水污染范围、农产品质量安全风险、风险管控与修复的目标和基本要求等内容。风险评估报告应当上传至信息管理平台。</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市级生态环境主管部门应当对超标农用地周边</w:t>
      </w:r>
      <w:r>
        <w:rPr>
          <w:rFonts w:hint="eastAsia" w:cs="Times New Roman"/>
          <w:sz w:val="32"/>
          <w:szCs w:val="32"/>
        </w:rPr>
        <w:t>可能造成污染的</w:t>
      </w:r>
      <w:r>
        <w:rPr>
          <w:rFonts w:cs="Times New Roman"/>
          <w:sz w:val="32"/>
          <w:szCs w:val="32"/>
        </w:rPr>
        <w:t>相关工矿企业开展监测，分析农用地超标与工矿企业的关系，监测结果作为环境执法、风险预警和污染责任认定的依据</w:t>
      </w:r>
      <w:r>
        <w:rPr>
          <w:rFonts w:hint="eastAsia" w:cs="Times New Roman"/>
          <w:sz w:val="32"/>
          <w:szCs w:val="32"/>
        </w:rPr>
        <w:t>。</w:t>
      </w:r>
      <w:r>
        <w:rPr>
          <w:rFonts w:cs="Times New Roman"/>
          <w:sz w:val="32"/>
          <w:szCs w:val="32"/>
        </w:rPr>
        <w:t>监测结果</w:t>
      </w:r>
      <w:r>
        <w:rPr>
          <w:rFonts w:hint="eastAsia" w:cs="Times New Roman"/>
          <w:sz w:val="32"/>
          <w:szCs w:val="32"/>
        </w:rPr>
        <w:t>应当</w:t>
      </w:r>
      <w:r>
        <w:rPr>
          <w:rFonts w:cs="Times New Roman"/>
          <w:sz w:val="32"/>
          <w:szCs w:val="32"/>
        </w:rPr>
        <w:t>上传至信息管理平台。</w:t>
      </w:r>
    </w:p>
    <w:p>
      <w:pPr>
        <w:suppressAutoHyphens/>
        <w:overflowPunct w:val="0"/>
        <w:topLinePunct/>
        <w:adjustRightInd w:val="0"/>
        <w:snapToGrid w:val="0"/>
        <w:spacing w:line="600" w:lineRule="exact"/>
        <w:ind w:firstLine="643"/>
        <w:rPr>
          <w:rFonts w:cs="Times New Roman"/>
          <w:sz w:val="32"/>
          <w:szCs w:val="32"/>
        </w:rPr>
      </w:pPr>
      <w:bookmarkStart w:id="17" w:name="_Toc135734365"/>
      <w:r>
        <w:rPr>
          <w:rFonts w:cs="Times New Roman"/>
          <w:b/>
          <w:bCs/>
          <w:sz w:val="32"/>
          <w:szCs w:val="32"/>
        </w:rPr>
        <w:t>第十</w:t>
      </w:r>
      <w:r>
        <w:rPr>
          <w:rFonts w:hint="eastAsia" w:cs="Times New Roman"/>
          <w:b/>
          <w:bCs/>
          <w:sz w:val="32"/>
          <w:szCs w:val="32"/>
        </w:rPr>
        <w:t>四</w:t>
      </w:r>
      <w:r>
        <w:rPr>
          <w:rFonts w:cs="Times New Roman"/>
          <w:b/>
          <w:bCs/>
          <w:sz w:val="32"/>
          <w:szCs w:val="32"/>
        </w:rPr>
        <w:t>条</w:t>
      </w:r>
      <w:r>
        <w:rPr>
          <w:rFonts w:hint="eastAsia" w:cs="Times New Roman"/>
          <w:sz w:val="32"/>
          <w:szCs w:val="32"/>
        </w:rPr>
        <w:t>　</w:t>
      </w:r>
      <w:r>
        <w:rPr>
          <w:rFonts w:cs="Times New Roman"/>
          <w:sz w:val="32"/>
          <w:szCs w:val="32"/>
        </w:rPr>
        <w:t>各级生态环境主管部门应当会同农业农村</w:t>
      </w:r>
      <w:r>
        <w:rPr>
          <w:rFonts w:hint="eastAsia" w:cs="Times New Roman"/>
          <w:sz w:val="32"/>
          <w:szCs w:val="32"/>
        </w:rPr>
        <w:t>等</w:t>
      </w:r>
      <w:r>
        <w:rPr>
          <w:rFonts w:cs="Times New Roman"/>
          <w:sz w:val="32"/>
          <w:szCs w:val="32"/>
        </w:rPr>
        <w:t>主管部门</w:t>
      </w:r>
      <w:r>
        <w:rPr>
          <w:rFonts w:hint="eastAsia" w:cs="Times New Roman"/>
          <w:sz w:val="32"/>
          <w:szCs w:val="32"/>
        </w:rPr>
        <w:t>开展</w:t>
      </w:r>
      <w:r>
        <w:rPr>
          <w:rFonts w:cs="Times New Roman"/>
          <w:sz w:val="32"/>
          <w:szCs w:val="32"/>
        </w:rPr>
        <w:t>灌溉水水质监测，定期开展粮食生产功能区、重要农产品生产保护区、特色农产品优势区等优先保护类耕地以及污染风险较大</w:t>
      </w:r>
      <w:r>
        <w:rPr>
          <w:rFonts w:hint="eastAsia" w:cs="Times New Roman"/>
          <w:sz w:val="32"/>
          <w:szCs w:val="32"/>
        </w:rPr>
        <w:t>耕地</w:t>
      </w:r>
      <w:r>
        <w:rPr>
          <w:rFonts w:cs="Times New Roman"/>
          <w:sz w:val="32"/>
          <w:szCs w:val="32"/>
        </w:rPr>
        <w:t>的灌溉水水质监测</w:t>
      </w:r>
      <w:r>
        <w:rPr>
          <w:rFonts w:hint="eastAsia" w:cs="Times New Roman"/>
          <w:sz w:val="32"/>
          <w:szCs w:val="32"/>
        </w:rPr>
        <w:t>。</w:t>
      </w:r>
      <w:r>
        <w:rPr>
          <w:rFonts w:cs="Times New Roman"/>
          <w:sz w:val="32"/>
          <w:szCs w:val="32"/>
        </w:rPr>
        <w:t>监测结果</w:t>
      </w:r>
      <w:r>
        <w:rPr>
          <w:rFonts w:hint="eastAsia" w:cs="Times New Roman"/>
          <w:sz w:val="32"/>
          <w:szCs w:val="32"/>
        </w:rPr>
        <w:t>应当</w:t>
      </w:r>
      <w:r>
        <w:rPr>
          <w:rFonts w:cs="Times New Roman"/>
          <w:sz w:val="32"/>
          <w:szCs w:val="32"/>
        </w:rPr>
        <w:t>上传至信息管理平台。</w:t>
      </w:r>
      <w:bookmarkEnd w:id="17"/>
      <w:bookmarkStart w:id="18" w:name="_Toc135734366"/>
    </w:p>
    <w:p>
      <w:pPr>
        <w:suppressAutoHyphens/>
        <w:overflowPunct w:val="0"/>
        <w:topLinePunct/>
        <w:adjustRightInd w:val="0"/>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五</w:t>
      </w:r>
      <w:r>
        <w:rPr>
          <w:rFonts w:cs="Times New Roman"/>
          <w:b/>
          <w:bCs/>
          <w:sz w:val="32"/>
          <w:szCs w:val="32"/>
        </w:rPr>
        <w:t>条</w:t>
      </w:r>
      <w:r>
        <w:rPr>
          <w:rFonts w:hint="eastAsia" w:cs="Times New Roman"/>
          <w:b/>
          <w:bCs/>
          <w:sz w:val="32"/>
          <w:szCs w:val="32"/>
        </w:rPr>
        <w:t>　</w:t>
      </w:r>
      <w:r>
        <w:rPr>
          <w:rFonts w:hint="eastAsia" w:cs="Times New Roman"/>
          <w:sz w:val="32"/>
          <w:szCs w:val="32"/>
        </w:rPr>
        <w:t>排放镉等重金属的企业，</w:t>
      </w:r>
      <w:r>
        <w:rPr>
          <w:rFonts w:cs="Times New Roman"/>
          <w:sz w:val="32"/>
          <w:szCs w:val="32"/>
        </w:rPr>
        <w:t>应当依法对周边大气镉等重金属沉降及耕地土壤重金属</w:t>
      </w:r>
      <w:r>
        <w:rPr>
          <w:rFonts w:hint="eastAsia" w:cs="Times New Roman"/>
          <w:sz w:val="32"/>
          <w:szCs w:val="32"/>
        </w:rPr>
        <w:t>含量</w:t>
      </w:r>
      <w:r>
        <w:rPr>
          <w:rFonts w:cs="Times New Roman"/>
          <w:sz w:val="32"/>
          <w:szCs w:val="32"/>
        </w:rPr>
        <w:t>进行定期监测，评估大气重金属沉降造成耕地土壤中镉等重金属累积的风险。</w:t>
      </w:r>
      <w:bookmarkEnd w:id="18"/>
    </w:p>
    <w:p>
      <w:pPr>
        <w:suppressAutoHyphens/>
        <w:overflowPunct w:val="0"/>
        <w:topLinePunct/>
        <w:adjustRightInd w:val="0"/>
        <w:snapToGrid w:val="0"/>
        <w:spacing w:line="600" w:lineRule="exact"/>
        <w:ind w:firstLine="643"/>
        <w:rPr>
          <w:rFonts w:cs="Times New Roman"/>
          <w:sz w:val="32"/>
          <w:szCs w:val="32"/>
        </w:rPr>
      </w:pPr>
      <w:bookmarkStart w:id="19" w:name="_Toc135734368"/>
      <w:r>
        <w:rPr>
          <w:rFonts w:cs="Times New Roman"/>
          <w:b/>
          <w:bCs/>
          <w:sz w:val="32"/>
          <w:szCs w:val="32"/>
        </w:rPr>
        <w:t>第十</w:t>
      </w:r>
      <w:r>
        <w:rPr>
          <w:rFonts w:hint="eastAsia" w:cs="Times New Roman"/>
          <w:b/>
          <w:bCs/>
          <w:sz w:val="32"/>
          <w:szCs w:val="32"/>
        </w:rPr>
        <w:t>六</w:t>
      </w:r>
      <w:r>
        <w:rPr>
          <w:rFonts w:cs="Times New Roman"/>
          <w:b/>
          <w:bCs/>
          <w:sz w:val="32"/>
          <w:szCs w:val="32"/>
        </w:rPr>
        <w:t>条</w:t>
      </w:r>
      <w:r>
        <w:rPr>
          <w:rFonts w:hint="eastAsia" w:cs="Times New Roman"/>
          <w:sz w:val="32"/>
          <w:szCs w:val="32"/>
        </w:rPr>
        <w:t>　</w:t>
      </w:r>
      <w:r>
        <w:rPr>
          <w:rFonts w:cs="Times New Roman"/>
          <w:sz w:val="32"/>
          <w:szCs w:val="32"/>
        </w:rPr>
        <w:t>各级农业农村、林业和草原主管部门应当根据农产品、林产品的质量安全</w:t>
      </w:r>
      <w:r>
        <w:rPr>
          <w:rFonts w:hint="eastAsia" w:cs="Times New Roman"/>
          <w:sz w:val="32"/>
          <w:szCs w:val="32"/>
        </w:rPr>
        <w:t>状</w:t>
      </w:r>
      <w:r>
        <w:rPr>
          <w:rFonts w:cs="Times New Roman"/>
          <w:sz w:val="32"/>
          <w:szCs w:val="32"/>
        </w:rPr>
        <w:t>况，组织实施农用地土壤与农产品、林产品协同监测和风险评估</w:t>
      </w:r>
      <w:r>
        <w:rPr>
          <w:rFonts w:hint="eastAsia" w:cs="Times New Roman"/>
          <w:sz w:val="32"/>
          <w:szCs w:val="32"/>
        </w:rPr>
        <w:t>。</w:t>
      </w:r>
      <w:r>
        <w:rPr>
          <w:rFonts w:cs="Times New Roman"/>
          <w:sz w:val="32"/>
          <w:szCs w:val="32"/>
        </w:rPr>
        <w:t>根据监测和风险评估结果，优化调整安全利用措施</w:t>
      </w:r>
      <w:r>
        <w:rPr>
          <w:rFonts w:hint="eastAsia" w:cs="Times New Roman"/>
          <w:sz w:val="32"/>
          <w:szCs w:val="32"/>
        </w:rPr>
        <w:t>。各类</w:t>
      </w:r>
      <w:r>
        <w:rPr>
          <w:rFonts w:cs="Times New Roman"/>
          <w:sz w:val="32"/>
          <w:szCs w:val="32"/>
        </w:rPr>
        <w:t>监测结果</w:t>
      </w:r>
      <w:r>
        <w:rPr>
          <w:rFonts w:hint="eastAsia" w:cs="Times New Roman"/>
          <w:sz w:val="32"/>
          <w:szCs w:val="32"/>
        </w:rPr>
        <w:t>应当</w:t>
      </w:r>
      <w:r>
        <w:rPr>
          <w:rFonts w:cs="Times New Roman"/>
          <w:sz w:val="32"/>
          <w:szCs w:val="32"/>
        </w:rPr>
        <w:t>上传至信息管理平台。</w:t>
      </w:r>
      <w:bookmarkEnd w:id="19"/>
    </w:p>
    <w:p>
      <w:pPr>
        <w:suppressAutoHyphens/>
        <w:overflowPunct w:val="0"/>
        <w:topLinePunct/>
        <w:adjustRightInd w:val="0"/>
        <w:snapToGrid w:val="0"/>
        <w:spacing w:line="600" w:lineRule="exact"/>
        <w:ind w:firstLine="643"/>
        <w:rPr>
          <w:rFonts w:cs="Times New Roman"/>
          <w:sz w:val="32"/>
          <w:szCs w:val="32"/>
        </w:rPr>
      </w:pPr>
      <w:bookmarkStart w:id="20" w:name="_Toc135734370"/>
      <w:r>
        <w:rPr>
          <w:rFonts w:cs="Times New Roman"/>
          <w:b/>
          <w:bCs/>
          <w:sz w:val="32"/>
          <w:szCs w:val="32"/>
        </w:rPr>
        <w:t>第</w:t>
      </w:r>
      <w:r>
        <w:rPr>
          <w:rFonts w:hint="eastAsia" w:cs="Times New Roman"/>
          <w:b/>
          <w:bCs/>
          <w:sz w:val="32"/>
          <w:szCs w:val="32"/>
        </w:rPr>
        <w:t>十七</w:t>
      </w:r>
      <w:r>
        <w:rPr>
          <w:rFonts w:cs="Times New Roman"/>
          <w:b/>
          <w:bCs/>
          <w:sz w:val="32"/>
          <w:szCs w:val="32"/>
        </w:rPr>
        <w:t>条</w:t>
      </w:r>
      <w:r>
        <w:rPr>
          <w:rFonts w:hint="eastAsia" w:cs="Times New Roman"/>
          <w:sz w:val="32"/>
          <w:szCs w:val="32"/>
        </w:rPr>
        <w:t>　</w:t>
      </w:r>
      <w:r>
        <w:rPr>
          <w:rFonts w:cs="Times New Roman"/>
          <w:sz w:val="32"/>
          <w:szCs w:val="32"/>
        </w:rPr>
        <w:t>省级农业农村</w:t>
      </w:r>
      <w:r>
        <w:rPr>
          <w:rFonts w:hint="eastAsia" w:cs="Times New Roman"/>
          <w:sz w:val="32"/>
          <w:szCs w:val="32"/>
        </w:rPr>
        <w:t>主管部门</w:t>
      </w:r>
      <w:r>
        <w:rPr>
          <w:rFonts w:cs="Times New Roman"/>
          <w:sz w:val="32"/>
          <w:szCs w:val="32"/>
        </w:rPr>
        <w:t>应当会同生态环境、自然资源等主管部门</w:t>
      </w:r>
      <w:r>
        <w:rPr>
          <w:rFonts w:hint="eastAsia" w:cs="Times New Roman"/>
          <w:sz w:val="32"/>
          <w:szCs w:val="32"/>
        </w:rPr>
        <w:t>根据农用地土壤污染状况普查、详查等成果，按照相关标准、技术规范，</w:t>
      </w:r>
      <w:r>
        <w:rPr>
          <w:rFonts w:cs="Times New Roman"/>
          <w:sz w:val="32"/>
          <w:szCs w:val="32"/>
        </w:rPr>
        <w:t>组织开展全省耕地土壤环境质量类别划分工作</w:t>
      </w:r>
      <w:r>
        <w:rPr>
          <w:rFonts w:hint="eastAsia" w:cs="Times New Roman"/>
          <w:sz w:val="32"/>
          <w:szCs w:val="32"/>
        </w:rPr>
        <w:t>并动态更新。</w:t>
      </w:r>
      <w:bookmarkEnd w:id="20"/>
    </w:p>
    <w:p>
      <w:pPr>
        <w:suppressAutoHyphens/>
        <w:overflowPunct w:val="0"/>
        <w:topLinePunct/>
        <w:adjustRightInd w:val="0"/>
        <w:snapToGrid w:val="0"/>
        <w:spacing w:line="600" w:lineRule="exact"/>
        <w:ind w:firstLine="640"/>
        <w:rPr>
          <w:rFonts w:cs="Times New Roman"/>
          <w:sz w:val="32"/>
          <w:szCs w:val="32"/>
        </w:rPr>
      </w:pPr>
      <w:r>
        <w:rPr>
          <w:rFonts w:hint="eastAsia" w:cs="Times New Roman"/>
          <w:sz w:val="32"/>
          <w:szCs w:val="32"/>
        </w:rPr>
        <w:t>未利用地、复垦土地等拟开垦为耕地的，应当根据国家、省相关法律法规要求，开展土壤污染状况调查并进行分类管理。</w:t>
      </w:r>
    </w:p>
    <w:p>
      <w:pPr>
        <w:suppressAutoHyphens/>
        <w:overflowPunct w:val="0"/>
        <w:topLinePunct/>
        <w:adjustRightInd w:val="0"/>
        <w:snapToGrid w:val="0"/>
        <w:spacing w:line="600" w:lineRule="exact"/>
        <w:ind w:firstLine="640"/>
        <w:rPr>
          <w:rFonts w:cs="Times New Roman"/>
          <w:sz w:val="32"/>
          <w:szCs w:val="32"/>
        </w:rPr>
      </w:pPr>
      <w:r>
        <w:rPr>
          <w:rFonts w:hint="eastAsia" w:cs="Times New Roman"/>
          <w:sz w:val="32"/>
          <w:szCs w:val="32"/>
        </w:rPr>
        <w:t>鼓励有条件的地区逐步开展林地、草地等农用地土壤环境质量类别划分等工作。</w:t>
      </w:r>
    </w:p>
    <w:p>
      <w:pPr>
        <w:suppressAutoHyphens/>
        <w:overflowPunct w:val="0"/>
        <w:topLinePunct/>
        <w:adjustRightInd w:val="0"/>
        <w:snapToGrid w:val="0"/>
        <w:spacing w:line="600" w:lineRule="exact"/>
        <w:ind w:firstLine="643"/>
        <w:rPr>
          <w:rFonts w:cs="Times New Roman"/>
          <w:sz w:val="32"/>
          <w:szCs w:val="32"/>
        </w:rPr>
      </w:pPr>
      <w:bookmarkStart w:id="21" w:name="_Toc135734371"/>
      <w:r>
        <w:rPr>
          <w:rFonts w:cs="Times New Roman"/>
          <w:b/>
          <w:bCs/>
          <w:sz w:val="32"/>
          <w:szCs w:val="32"/>
        </w:rPr>
        <w:t>第</w:t>
      </w:r>
      <w:r>
        <w:rPr>
          <w:rFonts w:hint="eastAsia" w:cs="Times New Roman"/>
          <w:b/>
          <w:bCs/>
          <w:sz w:val="32"/>
          <w:szCs w:val="32"/>
        </w:rPr>
        <w:t>十八</w:t>
      </w:r>
      <w:r>
        <w:rPr>
          <w:rFonts w:cs="Times New Roman"/>
          <w:b/>
          <w:bCs/>
          <w:sz w:val="32"/>
          <w:szCs w:val="32"/>
        </w:rPr>
        <w:t>条</w:t>
      </w:r>
      <w:bookmarkEnd w:id="21"/>
      <w:bookmarkStart w:id="22" w:name="_Toc135734372"/>
      <w:r>
        <w:rPr>
          <w:rFonts w:hint="eastAsia" w:cs="Times New Roman"/>
          <w:b/>
          <w:bCs/>
          <w:sz w:val="32"/>
          <w:szCs w:val="32"/>
        </w:rPr>
        <w:t>　</w:t>
      </w:r>
      <w:r>
        <w:rPr>
          <w:rFonts w:hint="eastAsia" w:cs="Times New Roman"/>
          <w:sz w:val="32"/>
          <w:szCs w:val="32"/>
        </w:rPr>
        <w:t>永久基本农田集中区域内禁止新建有可能造成土壤污染的企业和其他设施，已经建成的相关企业应当按照有关规定限期关闭拆除。</w:t>
      </w:r>
    </w:p>
    <w:p>
      <w:pPr>
        <w:suppressAutoHyphens/>
        <w:overflowPunct w:val="0"/>
        <w:topLinePunct/>
        <w:adjustRightInd w:val="0"/>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十九</w:t>
      </w:r>
      <w:r>
        <w:rPr>
          <w:rFonts w:cs="Times New Roman"/>
          <w:b/>
          <w:bCs/>
          <w:sz w:val="32"/>
          <w:szCs w:val="32"/>
        </w:rPr>
        <w:t>条</w:t>
      </w:r>
      <w:r>
        <w:rPr>
          <w:rFonts w:hint="eastAsia" w:cs="Times New Roman"/>
          <w:sz w:val="32"/>
          <w:szCs w:val="32"/>
        </w:rPr>
        <w:t>　</w:t>
      </w:r>
      <w:r>
        <w:rPr>
          <w:rFonts w:cs="Times New Roman"/>
          <w:sz w:val="32"/>
          <w:szCs w:val="32"/>
        </w:rPr>
        <w:t>县级</w:t>
      </w:r>
      <w:r>
        <w:rPr>
          <w:rFonts w:hint="eastAsia" w:cs="Times New Roman"/>
          <w:sz w:val="32"/>
          <w:szCs w:val="32"/>
        </w:rPr>
        <w:t>以上</w:t>
      </w:r>
      <w:r>
        <w:rPr>
          <w:rFonts w:cs="Times New Roman"/>
          <w:sz w:val="32"/>
          <w:szCs w:val="32"/>
        </w:rPr>
        <w:t>农业农村</w:t>
      </w:r>
      <w:r>
        <w:rPr>
          <w:rFonts w:hint="eastAsia" w:cs="Times New Roman"/>
          <w:sz w:val="32"/>
          <w:szCs w:val="32"/>
        </w:rPr>
        <w:t>、林业和草原</w:t>
      </w:r>
      <w:r>
        <w:rPr>
          <w:rFonts w:cs="Times New Roman"/>
          <w:sz w:val="32"/>
          <w:szCs w:val="32"/>
        </w:rPr>
        <w:t>主管部门应当根据农用地土壤安全利用相关技术规范要求，</w:t>
      </w:r>
      <w:r>
        <w:rPr>
          <w:rFonts w:hint="eastAsia" w:cs="Times New Roman"/>
          <w:sz w:val="32"/>
          <w:szCs w:val="32"/>
        </w:rPr>
        <w:t>结合农用地污染状况，因地制宜</w:t>
      </w:r>
      <w:r>
        <w:rPr>
          <w:rFonts w:cs="Times New Roman"/>
          <w:sz w:val="32"/>
          <w:szCs w:val="32"/>
        </w:rPr>
        <w:t>组织制定</w:t>
      </w:r>
      <w:r>
        <w:rPr>
          <w:rFonts w:hint="eastAsia" w:cs="Times New Roman"/>
          <w:sz w:val="32"/>
          <w:szCs w:val="32"/>
        </w:rPr>
        <w:t>并落实</w:t>
      </w:r>
      <w:r>
        <w:rPr>
          <w:rFonts w:cs="Times New Roman"/>
          <w:sz w:val="32"/>
          <w:szCs w:val="32"/>
        </w:rPr>
        <w:t>受污染</w:t>
      </w:r>
      <w:r>
        <w:rPr>
          <w:rFonts w:hint="eastAsia" w:cs="Times New Roman"/>
          <w:sz w:val="32"/>
          <w:szCs w:val="32"/>
        </w:rPr>
        <w:t>农用地</w:t>
      </w:r>
      <w:r>
        <w:rPr>
          <w:rFonts w:cs="Times New Roman"/>
          <w:sz w:val="32"/>
          <w:szCs w:val="32"/>
        </w:rPr>
        <w:t>安全利用方案，降低农产品超标风险。</w:t>
      </w:r>
      <w:bookmarkEnd w:id="22"/>
    </w:p>
    <w:p>
      <w:pPr>
        <w:suppressAutoHyphens/>
        <w:overflowPunct w:val="0"/>
        <w:topLinePunct/>
        <w:adjustRightInd w:val="0"/>
        <w:snapToGrid w:val="0"/>
        <w:spacing w:line="600" w:lineRule="exact"/>
        <w:ind w:firstLine="643"/>
        <w:rPr>
          <w:rFonts w:cs="Times New Roman"/>
          <w:sz w:val="32"/>
          <w:szCs w:val="32"/>
        </w:rPr>
      </w:pPr>
      <w:bookmarkStart w:id="23" w:name="_Toc135734373"/>
      <w:r>
        <w:rPr>
          <w:rFonts w:cs="Times New Roman"/>
          <w:b/>
          <w:bCs/>
          <w:sz w:val="32"/>
          <w:szCs w:val="32"/>
        </w:rPr>
        <w:t>第</w:t>
      </w:r>
      <w:r>
        <w:rPr>
          <w:rFonts w:hint="eastAsia" w:cs="Times New Roman"/>
          <w:b/>
          <w:bCs/>
          <w:sz w:val="32"/>
          <w:szCs w:val="32"/>
        </w:rPr>
        <w:t>二十条</w:t>
      </w:r>
      <w:r>
        <w:rPr>
          <w:rFonts w:hint="eastAsia" w:cs="Times New Roman"/>
          <w:sz w:val="32"/>
          <w:szCs w:val="32"/>
        </w:rPr>
        <w:t>　</w:t>
      </w:r>
      <w:r>
        <w:rPr>
          <w:rFonts w:cs="Times New Roman"/>
          <w:sz w:val="32"/>
          <w:szCs w:val="32"/>
        </w:rPr>
        <w:t>县级以上农业农村、林业和草原主管部门应当对严格管控类农用地</w:t>
      </w:r>
      <w:bookmarkEnd w:id="23"/>
      <w:r>
        <w:rPr>
          <w:rFonts w:cs="Times New Roman"/>
          <w:sz w:val="32"/>
          <w:szCs w:val="32"/>
        </w:rPr>
        <w:t>提出划定特定农产品禁止生产区域的建议</w:t>
      </w:r>
      <w:r>
        <w:rPr>
          <w:rFonts w:hint="eastAsia" w:cs="Times New Roman"/>
          <w:sz w:val="32"/>
          <w:szCs w:val="32"/>
        </w:rPr>
        <w:t>，并</w:t>
      </w:r>
      <w:r>
        <w:rPr>
          <w:rFonts w:cs="Times New Roman"/>
          <w:sz w:val="32"/>
          <w:szCs w:val="32"/>
        </w:rPr>
        <w:t>报</w:t>
      </w:r>
      <w:r>
        <w:rPr>
          <w:rFonts w:hint="eastAsia" w:cs="Times New Roman"/>
          <w:sz w:val="32"/>
          <w:szCs w:val="32"/>
        </w:rPr>
        <w:t>本级</w:t>
      </w:r>
      <w:r>
        <w:rPr>
          <w:rFonts w:cs="Times New Roman"/>
          <w:sz w:val="32"/>
          <w:szCs w:val="32"/>
        </w:rPr>
        <w:t>地方人民政府批准后实施</w:t>
      </w:r>
      <w:r>
        <w:rPr>
          <w:rFonts w:hint="eastAsia" w:cs="Times New Roman"/>
          <w:sz w:val="32"/>
          <w:szCs w:val="32"/>
        </w:rPr>
        <w:t>。</w:t>
      </w:r>
    </w:p>
    <w:p>
      <w:pPr>
        <w:suppressAutoHyphens/>
        <w:overflowPunct w:val="0"/>
        <w:topLinePunct/>
        <w:adjustRightInd w:val="0"/>
        <w:snapToGrid w:val="0"/>
        <w:spacing w:line="600" w:lineRule="exact"/>
        <w:ind w:firstLine="640"/>
        <w:rPr>
          <w:rFonts w:cs="Times New Roman"/>
          <w:sz w:val="32"/>
          <w:szCs w:val="32"/>
        </w:rPr>
      </w:pPr>
      <w:r>
        <w:rPr>
          <w:rFonts w:cs="Times New Roman"/>
          <w:sz w:val="32"/>
          <w:szCs w:val="32"/>
        </w:rPr>
        <w:t>有关部门应当对严格管控类</w:t>
      </w:r>
      <w:r>
        <w:rPr>
          <w:rFonts w:hint="eastAsia" w:cs="Times New Roman"/>
          <w:sz w:val="32"/>
          <w:szCs w:val="32"/>
        </w:rPr>
        <w:t>农用地</w:t>
      </w:r>
      <w:r>
        <w:rPr>
          <w:rFonts w:cs="Times New Roman"/>
          <w:sz w:val="32"/>
          <w:szCs w:val="32"/>
        </w:rPr>
        <w:t>采取调整种植结构、轮作休耕、轮牧休牧</w:t>
      </w:r>
      <w:r>
        <w:rPr>
          <w:rFonts w:hint="eastAsia" w:cs="Times New Roman"/>
          <w:sz w:val="32"/>
          <w:szCs w:val="32"/>
        </w:rPr>
        <w:t>、秸秆离田</w:t>
      </w:r>
      <w:r>
        <w:rPr>
          <w:rFonts w:cs="Times New Roman"/>
          <w:sz w:val="32"/>
          <w:szCs w:val="32"/>
        </w:rPr>
        <w:t>等风险管控措施，并给予相应的政策支持。</w:t>
      </w:r>
    </w:p>
    <w:p>
      <w:pPr>
        <w:suppressAutoHyphens/>
        <w:overflowPunct w:val="0"/>
        <w:topLinePunct/>
        <w:adjustRightInd w:val="0"/>
        <w:snapToGrid w:val="0"/>
        <w:spacing w:line="600" w:lineRule="exact"/>
        <w:ind w:firstLine="643"/>
        <w:rPr>
          <w:rFonts w:cs="Times New Roman"/>
          <w:sz w:val="32"/>
          <w:szCs w:val="32"/>
        </w:rPr>
      </w:pPr>
      <w:bookmarkStart w:id="24" w:name="_Toc135734374"/>
      <w:r>
        <w:rPr>
          <w:rFonts w:cs="Times New Roman"/>
          <w:b/>
          <w:bCs/>
          <w:sz w:val="32"/>
          <w:szCs w:val="32"/>
        </w:rPr>
        <w:t>第二十</w:t>
      </w:r>
      <w:r>
        <w:rPr>
          <w:rFonts w:hint="eastAsia" w:cs="Times New Roman"/>
          <w:b/>
          <w:bCs/>
          <w:sz w:val="32"/>
          <w:szCs w:val="32"/>
        </w:rPr>
        <w:t>一</w:t>
      </w:r>
      <w:r>
        <w:rPr>
          <w:rFonts w:cs="Times New Roman"/>
          <w:b/>
          <w:bCs/>
          <w:sz w:val="32"/>
          <w:szCs w:val="32"/>
        </w:rPr>
        <w:t>条</w:t>
      </w:r>
      <w:r>
        <w:rPr>
          <w:rFonts w:hint="eastAsia" w:cs="Times New Roman"/>
          <w:sz w:val="32"/>
          <w:szCs w:val="32"/>
        </w:rPr>
        <w:t>　</w:t>
      </w:r>
      <w:r>
        <w:rPr>
          <w:rFonts w:cs="Times New Roman"/>
          <w:sz w:val="32"/>
          <w:szCs w:val="32"/>
        </w:rPr>
        <w:t>需要实施修复的农用地</w:t>
      </w:r>
      <w:r>
        <w:rPr>
          <w:rFonts w:hint="eastAsia" w:cs="Times New Roman"/>
          <w:sz w:val="32"/>
          <w:szCs w:val="32"/>
        </w:rPr>
        <w:t>，</w:t>
      </w:r>
      <w:r>
        <w:rPr>
          <w:rFonts w:cs="Times New Roman"/>
          <w:sz w:val="32"/>
          <w:szCs w:val="32"/>
        </w:rPr>
        <w:t>土壤污染责任人应当编制修复方案，报县级农业农村、林业和草原等主管部门备案并实施</w:t>
      </w:r>
      <w:bookmarkEnd w:id="24"/>
      <w:r>
        <w:rPr>
          <w:rFonts w:hint="eastAsia" w:cs="Times New Roman"/>
          <w:sz w:val="32"/>
          <w:szCs w:val="32"/>
        </w:rPr>
        <w:t>；</w:t>
      </w:r>
      <w:r>
        <w:rPr>
          <w:rFonts w:cs="Times New Roman"/>
          <w:sz w:val="32"/>
          <w:szCs w:val="32"/>
        </w:rPr>
        <w:t>土壤污染责任人灭失的，县级农业农村、林业和草原</w:t>
      </w:r>
      <w:r>
        <w:rPr>
          <w:rFonts w:hint="eastAsia" w:cs="Times New Roman"/>
          <w:sz w:val="32"/>
          <w:szCs w:val="32"/>
        </w:rPr>
        <w:t>主管部门应当</w:t>
      </w:r>
      <w:r>
        <w:rPr>
          <w:rFonts w:cs="Times New Roman"/>
          <w:sz w:val="32"/>
          <w:szCs w:val="32"/>
        </w:rPr>
        <w:t>会同自然资源、生态环境主管部门组织制定</w:t>
      </w:r>
      <w:r>
        <w:rPr>
          <w:rFonts w:hint="eastAsia" w:cs="Times New Roman"/>
          <w:sz w:val="32"/>
          <w:szCs w:val="32"/>
        </w:rPr>
        <w:t>并落实</w:t>
      </w:r>
      <w:r>
        <w:rPr>
          <w:rFonts w:cs="Times New Roman"/>
          <w:sz w:val="32"/>
          <w:szCs w:val="32"/>
        </w:rPr>
        <w:t>土壤修复方案。修复方案应当包括地下水污染防治的内容，并上传至信息管理平台。</w:t>
      </w:r>
    </w:p>
    <w:p>
      <w:pPr>
        <w:suppressAutoHyphens/>
        <w:overflowPunct w:val="0"/>
        <w:topLinePunct/>
        <w:adjustRightInd w:val="0"/>
        <w:snapToGrid w:val="0"/>
        <w:spacing w:line="600" w:lineRule="exact"/>
        <w:ind w:firstLine="643"/>
        <w:rPr>
          <w:rFonts w:cs="Times New Roman"/>
          <w:sz w:val="32"/>
          <w:szCs w:val="32"/>
        </w:rPr>
      </w:pPr>
      <w:bookmarkStart w:id="25" w:name="_Toc135734376"/>
      <w:r>
        <w:rPr>
          <w:rFonts w:cs="Times New Roman"/>
          <w:b/>
          <w:bCs/>
          <w:sz w:val="32"/>
          <w:szCs w:val="32"/>
        </w:rPr>
        <w:t>第二十</w:t>
      </w:r>
      <w:r>
        <w:rPr>
          <w:rFonts w:hint="eastAsia" w:cs="Times New Roman"/>
          <w:b/>
          <w:bCs/>
          <w:sz w:val="32"/>
          <w:szCs w:val="32"/>
        </w:rPr>
        <w:t>二</w:t>
      </w:r>
      <w:r>
        <w:rPr>
          <w:rFonts w:cs="Times New Roman"/>
          <w:b/>
          <w:bCs/>
          <w:sz w:val="32"/>
          <w:szCs w:val="32"/>
        </w:rPr>
        <w:t>条</w:t>
      </w:r>
      <w:bookmarkEnd w:id="25"/>
      <w:r>
        <w:rPr>
          <w:rFonts w:hint="eastAsia" w:cs="Times New Roman"/>
          <w:b/>
          <w:bCs/>
          <w:sz w:val="32"/>
          <w:szCs w:val="32"/>
        </w:rPr>
        <w:t>　</w:t>
      </w:r>
      <w:r>
        <w:rPr>
          <w:rFonts w:hint="eastAsia" w:cs="Times New Roman"/>
          <w:sz w:val="32"/>
          <w:szCs w:val="32"/>
        </w:rPr>
        <w:t>农用地土壤污染风险管控与修复完成后，土壤污染责任人应当按照要求对风险管控与修复效果进行评估，效果评估报告报县级农业农村、林业和草原主管部门备案。</w:t>
      </w:r>
    </w:p>
    <w:p>
      <w:pPr>
        <w:suppressAutoHyphens/>
        <w:overflowPunct w:val="0"/>
        <w:topLinePunct/>
        <w:adjustRightInd w:val="0"/>
        <w:snapToGrid w:val="0"/>
        <w:spacing w:line="600" w:lineRule="exact"/>
        <w:ind w:firstLine="643"/>
        <w:rPr>
          <w:rFonts w:cs="Times New Roman"/>
          <w:sz w:val="32"/>
          <w:szCs w:val="32"/>
        </w:rPr>
      </w:pPr>
      <w:bookmarkStart w:id="26" w:name="_Toc135734380"/>
      <w:r>
        <w:rPr>
          <w:rFonts w:cs="Times New Roman"/>
          <w:b/>
          <w:bCs/>
          <w:sz w:val="32"/>
          <w:szCs w:val="32"/>
        </w:rPr>
        <w:t>第二十</w:t>
      </w:r>
      <w:r>
        <w:rPr>
          <w:rFonts w:hint="eastAsia" w:cs="Times New Roman"/>
          <w:b/>
          <w:bCs/>
          <w:sz w:val="32"/>
          <w:szCs w:val="32"/>
        </w:rPr>
        <w:t>三</w:t>
      </w:r>
      <w:r>
        <w:rPr>
          <w:rFonts w:cs="Times New Roman"/>
          <w:b/>
          <w:bCs/>
          <w:sz w:val="32"/>
          <w:szCs w:val="32"/>
        </w:rPr>
        <w:t>条</w:t>
      </w:r>
      <w:bookmarkEnd w:id="26"/>
      <w:bookmarkStart w:id="27" w:name="_Toc135734381"/>
      <w:r>
        <w:rPr>
          <w:rFonts w:hint="eastAsia" w:cs="Times New Roman"/>
          <w:b/>
          <w:bCs/>
          <w:sz w:val="32"/>
          <w:szCs w:val="32"/>
        </w:rPr>
        <w:t>　</w:t>
      </w:r>
      <w:r>
        <w:rPr>
          <w:rFonts w:cs="Times New Roman"/>
          <w:sz w:val="32"/>
          <w:szCs w:val="32"/>
        </w:rPr>
        <w:t>各级农业农村、林业和草原主管部门应当会同自然资源、生态环境主管部门对安全利用类和严格管控类</w:t>
      </w:r>
      <w:r>
        <w:rPr>
          <w:rFonts w:hint="eastAsia" w:cs="Times New Roman"/>
          <w:sz w:val="32"/>
          <w:szCs w:val="32"/>
        </w:rPr>
        <w:t>农用地</w:t>
      </w:r>
      <w:r>
        <w:rPr>
          <w:rFonts w:cs="Times New Roman"/>
          <w:sz w:val="32"/>
          <w:szCs w:val="32"/>
        </w:rPr>
        <w:t>安全利用措施落实情况进行监督检查。</w:t>
      </w:r>
      <w:bookmarkEnd w:id="27"/>
    </w:p>
    <w:p>
      <w:pPr>
        <w:suppressAutoHyphens/>
        <w:overflowPunct w:val="0"/>
        <w:topLinePunct/>
        <w:adjustRightInd w:val="0"/>
        <w:snapToGrid w:val="0"/>
        <w:spacing w:line="600" w:lineRule="exact"/>
        <w:ind w:firstLine="643"/>
        <w:rPr>
          <w:rFonts w:cs="Times New Roman"/>
          <w:spacing w:val="-6"/>
          <w:sz w:val="32"/>
          <w:szCs w:val="20"/>
        </w:rPr>
      </w:pPr>
      <w:bookmarkStart w:id="28" w:name="_Toc135734388"/>
      <w:r>
        <w:rPr>
          <w:rFonts w:cs="Times New Roman"/>
          <w:b/>
          <w:bCs/>
          <w:sz w:val="32"/>
          <w:szCs w:val="32"/>
        </w:rPr>
        <w:t>第</w:t>
      </w:r>
      <w:r>
        <w:rPr>
          <w:rFonts w:hint="eastAsia" w:cs="Times New Roman"/>
          <w:b/>
          <w:bCs/>
          <w:sz w:val="32"/>
          <w:szCs w:val="32"/>
        </w:rPr>
        <w:t>二十四</w:t>
      </w:r>
      <w:r>
        <w:rPr>
          <w:rFonts w:cs="Times New Roman"/>
          <w:b/>
          <w:bCs/>
          <w:sz w:val="32"/>
          <w:szCs w:val="32"/>
        </w:rPr>
        <w:t>条</w:t>
      </w:r>
      <w:r>
        <w:rPr>
          <w:rFonts w:hint="eastAsia" w:cs="Times New Roman"/>
          <w:sz w:val="32"/>
          <w:szCs w:val="32"/>
        </w:rPr>
        <w:t>　</w:t>
      </w:r>
      <w:r>
        <w:rPr>
          <w:rFonts w:cs="Times New Roman"/>
          <w:sz w:val="32"/>
          <w:szCs w:val="32"/>
        </w:rPr>
        <w:t>本办法自</w:t>
      </w:r>
      <w:r>
        <w:rPr>
          <w:rFonts w:hint="eastAsia" w:cs="Times New Roman"/>
          <w:sz w:val="32"/>
          <w:szCs w:val="32"/>
        </w:rPr>
        <w:t>2024年2月1日起</w:t>
      </w:r>
      <w:r>
        <w:rPr>
          <w:rFonts w:cs="Times New Roman"/>
          <w:sz w:val="32"/>
          <w:szCs w:val="32"/>
        </w:rPr>
        <w:t>施行</w:t>
      </w:r>
      <w:r>
        <w:rPr>
          <w:rFonts w:hint="eastAsia" w:cs="Times New Roman"/>
          <w:sz w:val="32"/>
          <w:szCs w:val="32"/>
        </w:rPr>
        <w:t>，有效期5年</w:t>
      </w:r>
      <w:r>
        <w:rPr>
          <w:rFonts w:cs="Times New Roman"/>
          <w:sz w:val="32"/>
          <w:szCs w:val="32"/>
        </w:rPr>
        <w:t>。</w:t>
      </w:r>
      <w:bookmarkEnd w:id="28"/>
      <w:r>
        <w:rPr>
          <w:rFonts w:cs="Times New Roman"/>
          <w:sz w:val="32"/>
          <w:szCs w:val="32"/>
        </w:rPr>
        <w:t>四川省生态环境厅 四川省自然资源厅 四川省农业农村厅 四川省林业和草原局《关于印发〈四川省</w:t>
      </w:r>
      <w:r>
        <w:rPr>
          <w:rFonts w:hint="eastAsia" w:cs="Times New Roman"/>
          <w:sz w:val="32"/>
          <w:szCs w:val="32"/>
        </w:rPr>
        <w:t>农用地</w:t>
      </w:r>
      <w:r>
        <w:rPr>
          <w:rFonts w:cs="Times New Roman"/>
          <w:sz w:val="32"/>
          <w:szCs w:val="32"/>
        </w:rPr>
        <w:t>土壤环境管理办法〉的通知》（川环发〔2018〕89号）同时废止。</w:t>
      </w:r>
      <w:bookmarkStart w:id="29" w:name="_GoBack"/>
      <w:bookmarkEnd w:id="29"/>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232931958"/>
    </w:sdtPr>
    <w:sdtEndPr>
      <w:rPr>
        <w:rFonts w:hint="eastAsia" w:ascii="宋体" w:hAnsi="宋体" w:eastAsia="宋体"/>
        <w:sz w:val="28"/>
        <w:szCs w:val="28"/>
      </w:rPr>
    </w:sdtEndPr>
    <w:sdtContent>
      <w:p>
        <w:pPr>
          <w:pStyle w:val="9"/>
          <w:ind w:left="280" w:leftChars="100" w:right="280" w:rightChars="100" w:firstLine="0" w:firstLineChars="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569183239"/>
    </w:sdtPr>
    <w:sdtEndPr>
      <w:rPr>
        <w:rFonts w:hint="eastAsia" w:ascii="宋体" w:hAnsi="宋体" w:eastAsia="宋体"/>
        <w:sz w:val="28"/>
        <w:szCs w:val="28"/>
      </w:rPr>
    </w:sdtEndPr>
    <w:sdtContent>
      <w:p>
        <w:pPr>
          <w:pStyle w:val="9"/>
          <w:ind w:left="280" w:leftChars="100" w:right="280" w:rightChars="100" w:firstLine="0" w:firstLineChars="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evenAndOddHeaders w:val="true"/>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B8"/>
    <w:rsid w:val="000052CB"/>
    <w:rsid w:val="00012DF4"/>
    <w:rsid w:val="00014FCB"/>
    <w:rsid w:val="00021398"/>
    <w:rsid w:val="0002381A"/>
    <w:rsid w:val="00026B27"/>
    <w:rsid w:val="0003062C"/>
    <w:rsid w:val="00031E48"/>
    <w:rsid w:val="000361FB"/>
    <w:rsid w:val="000362F9"/>
    <w:rsid w:val="0004109D"/>
    <w:rsid w:val="00042513"/>
    <w:rsid w:val="00042B62"/>
    <w:rsid w:val="00043DB1"/>
    <w:rsid w:val="0004519A"/>
    <w:rsid w:val="0004772A"/>
    <w:rsid w:val="00051CF6"/>
    <w:rsid w:val="00062615"/>
    <w:rsid w:val="0006427C"/>
    <w:rsid w:val="00065818"/>
    <w:rsid w:val="00066CE5"/>
    <w:rsid w:val="00067701"/>
    <w:rsid w:val="000733E9"/>
    <w:rsid w:val="00076A7C"/>
    <w:rsid w:val="0007734B"/>
    <w:rsid w:val="000817CD"/>
    <w:rsid w:val="00085719"/>
    <w:rsid w:val="00090D16"/>
    <w:rsid w:val="00090EE2"/>
    <w:rsid w:val="00092CF2"/>
    <w:rsid w:val="00096AA7"/>
    <w:rsid w:val="0009733F"/>
    <w:rsid w:val="000A02F2"/>
    <w:rsid w:val="000A4EEA"/>
    <w:rsid w:val="000B27F7"/>
    <w:rsid w:val="000B6083"/>
    <w:rsid w:val="000C5CFA"/>
    <w:rsid w:val="000C6C19"/>
    <w:rsid w:val="000D7394"/>
    <w:rsid w:val="000D74D2"/>
    <w:rsid w:val="000E1FEE"/>
    <w:rsid w:val="000E3C98"/>
    <w:rsid w:val="000E5490"/>
    <w:rsid w:val="000F3634"/>
    <w:rsid w:val="000F6BF5"/>
    <w:rsid w:val="0010147C"/>
    <w:rsid w:val="00102B05"/>
    <w:rsid w:val="001120B4"/>
    <w:rsid w:val="00112BA1"/>
    <w:rsid w:val="00117945"/>
    <w:rsid w:val="00117D1A"/>
    <w:rsid w:val="0012180B"/>
    <w:rsid w:val="001221EB"/>
    <w:rsid w:val="001228CC"/>
    <w:rsid w:val="00124E2A"/>
    <w:rsid w:val="001310B0"/>
    <w:rsid w:val="00131E80"/>
    <w:rsid w:val="00133733"/>
    <w:rsid w:val="00137553"/>
    <w:rsid w:val="00143172"/>
    <w:rsid w:val="001432CB"/>
    <w:rsid w:val="00143824"/>
    <w:rsid w:val="001444E6"/>
    <w:rsid w:val="001459FD"/>
    <w:rsid w:val="0014653B"/>
    <w:rsid w:val="00151D71"/>
    <w:rsid w:val="00153190"/>
    <w:rsid w:val="001558AD"/>
    <w:rsid w:val="001608AF"/>
    <w:rsid w:val="00167AAA"/>
    <w:rsid w:val="001715E4"/>
    <w:rsid w:val="00175081"/>
    <w:rsid w:val="001760F4"/>
    <w:rsid w:val="0018683E"/>
    <w:rsid w:val="0019076F"/>
    <w:rsid w:val="00194C5D"/>
    <w:rsid w:val="00196488"/>
    <w:rsid w:val="001A18F3"/>
    <w:rsid w:val="001A30F5"/>
    <w:rsid w:val="001A4C26"/>
    <w:rsid w:val="001A5FB5"/>
    <w:rsid w:val="001B392E"/>
    <w:rsid w:val="001B5744"/>
    <w:rsid w:val="001C1D7B"/>
    <w:rsid w:val="001C2F90"/>
    <w:rsid w:val="001C768D"/>
    <w:rsid w:val="001D2491"/>
    <w:rsid w:val="001D4D94"/>
    <w:rsid w:val="001D574F"/>
    <w:rsid w:val="001D67D6"/>
    <w:rsid w:val="001D6BDA"/>
    <w:rsid w:val="001D7EE0"/>
    <w:rsid w:val="001E55C6"/>
    <w:rsid w:val="001E5CED"/>
    <w:rsid w:val="001E641C"/>
    <w:rsid w:val="001F39E5"/>
    <w:rsid w:val="00201271"/>
    <w:rsid w:val="00202211"/>
    <w:rsid w:val="00207DCE"/>
    <w:rsid w:val="00214BEA"/>
    <w:rsid w:val="00216A07"/>
    <w:rsid w:val="00237710"/>
    <w:rsid w:val="00240469"/>
    <w:rsid w:val="002454CD"/>
    <w:rsid w:val="0024688C"/>
    <w:rsid w:val="00247C50"/>
    <w:rsid w:val="00251348"/>
    <w:rsid w:val="002551BF"/>
    <w:rsid w:val="00266574"/>
    <w:rsid w:val="00266860"/>
    <w:rsid w:val="00266D4A"/>
    <w:rsid w:val="00275D11"/>
    <w:rsid w:val="0027632D"/>
    <w:rsid w:val="002805D5"/>
    <w:rsid w:val="00282907"/>
    <w:rsid w:val="00293ABB"/>
    <w:rsid w:val="00294290"/>
    <w:rsid w:val="00295817"/>
    <w:rsid w:val="002A2FA0"/>
    <w:rsid w:val="002A7ACC"/>
    <w:rsid w:val="002A7FF6"/>
    <w:rsid w:val="002B4470"/>
    <w:rsid w:val="002C22FB"/>
    <w:rsid w:val="002C3580"/>
    <w:rsid w:val="002C5A29"/>
    <w:rsid w:val="002C6334"/>
    <w:rsid w:val="002C6452"/>
    <w:rsid w:val="002C650F"/>
    <w:rsid w:val="002E2D0B"/>
    <w:rsid w:val="002E3E76"/>
    <w:rsid w:val="002F0464"/>
    <w:rsid w:val="002F0D6A"/>
    <w:rsid w:val="002F1317"/>
    <w:rsid w:val="002F276C"/>
    <w:rsid w:val="002F45FA"/>
    <w:rsid w:val="002F56E9"/>
    <w:rsid w:val="003025A7"/>
    <w:rsid w:val="00303379"/>
    <w:rsid w:val="00311B9E"/>
    <w:rsid w:val="00312C49"/>
    <w:rsid w:val="003132F6"/>
    <w:rsid w:val="0031518A"/>
    <w:rsid w:val="003158C3"/>
    <w:rsid w:val="003205CF"/>
    <w:rsid w:val="00332215"/>
    <w:rsid w:val="0033520B"/>
    <w:rsid w:val="00335534"/>
    <w:rsid w:val="00337B9E"/>
    <w:rsid w:val="00350317"/>
    <w:rsid w:val="0035567D"/>
    <w:rsid w:val="0036650A"/>
    <w:rsid w:val="00367302"/>
    <w:rsid w:val="00374D00"/>
    <w:rsid w:val="00380BA5"/>
    <w:rsid w:val="003831AC"/>
    <w:rsid w:val="00385F6F"/>
    <w:rsid w:val="003A1F63"/>
    <w:rsid w:val="003A6F99"/>
    <w:rsid w:val="003B1D13"/>
    <w:rsid w:val="003B3810"/>
    <w:rsid w:val="003C16E9"/>
    <w:rsid w:val="003C3010"/>
    <w:rsid w:val="003C36C5"/>
    <w:rsid w:val="003C390D"/>
    <w:rsid w:val="003C7011"/>
    <w:rsid w:val="003D2F34"/>
    <w:rsid w:val="003D526B"/>
    <w:rsid w:val="003D52FF"/>
    <w:rsid w:val="003D6815"/>
    <w:rsid w:val="003E22AE"/>
    <w:rsid w:val="003E2DCE"/>
    <w:rsid w:val="003E70AF"/>
    <w:rsid w:val="003F3D6B"/>
    <w:rsid w:val="003F5295"/>
    <w:rsid w:val="003F594E"/>
    <w:rsid w:val="003F66AB"/>
    <w:rsid w:val="0041580A"/>
    <w:rsid w:val="004163D2"/>
    <w:rsid w:val="0042232D"/>
    <w:rsid w:val="004319E3"/>
    <w:rsid w:val="00434948"/>
    <w:rsid w:val="00434BB3"/>
    <w:rsid w:val="00435B1C"/>
    <w:rsid w:val="00446B54"/>
    <w:rsid w:val="00446BAB"/>
    <w:rsid w:val="00450F21"/>
    <w:rsid w:val="00457F83"/>
    <w:rsid w:val="00460F0C"/>
    <w:rsid w:val="00475AF6"/>
    <w:rsid w:val="00477D13"/>
    <w:rsid w:val="00485B6B"/>
    <w:rsid w:val="00490B62"/>
    <w:rsid w:val="004954BE"/>
    <w:rsid w:val="0049772F"/>
    <w:rsid w:val="004A21D8"/>
    <w:rsid w:val="004A34CC"/>
    <w:rsid w:val="004A394F"/>
    <w:rsid w:val="004B50E7"/>
    <w:rsid w:val="004B59AD"/>
    <w:rsid w:val="004C5C5D"/>
    <w:rsid w:val="004C688B"/>
    <w:rsid w:val="004D4415"/>
    <w:rsid w:val="004D44A9"/>
    <w:rsid w:val="004D5253"/>
    <w:rsid w:val="004E2BA4"/>
    <w:rsid w:val="004E4A49"/>
    <w:rsid w:val="004E750C"/>
    <w:rsid w:val="004E7F8D"/>
    <w:rsid w:val="004F0083"/>
    <w:rsid w:val="004F1C2A"/>
    <w:rsid w:val="004F4D18"/>
    <w:rsid w:val="004F504D"/>
    <w:rsid w:val="004F55FF"/>
    <w:rsid w:val="00503010"/>
    <w:rsid w:val="00505B0E"/>
    <w:rsid w:val="00511B2A"/>
    <w:rsid w:val="00513193"/>
    <w:rsid w:val="00515236"/>
    <w:rsid w:val="0052181E"/>
    <w:rsid w:val="005225E9"/>
    <w:rsid w:val="005245B4"/>
    <w:rsid w:val="00526FE1"/>
    <w:rsid w:val="00531A12"/>
    <w:rsid w:val="005327DF"/>
    <w:rsid w:val="00533797"/>
    <w:rsid w:val="00536893"/>
    <w:rsid w:val="005422A1"/>
    <w:rsid w:val="005465B3"/>
    <w:rsid w:val="00550A44"/>
    <w:rsid w:val="00550F28"/>
    <w:rsid w:val="00553E4B"/>
    <w:rsid w:val="00555FC5"/>
    <w:rsid w:val="00556C94"/>
    <w:rsid w:val="00557822"/>
    <w:rsid w:val="005648F6"/>
    <w:rsid w:val="00575C08"/>
    <w:rsid w:val="00576E8F"/>
    <w:rsid w:val="005820E5"/>
    <w:rsid w:val="00586165"/>
    <w:rsid w:val="005864A2"/>
    <w:rsid w:val="005872E0"/>
    <w:rsid w:val="00590423"/>
    <w:rsid w:val="0059084F"/>
    <w:rsid w:val="00593595"/>
    <w:rsid w:val="00593840"/>
    <w:rsid w:val="00594D6A"/>
    <w:rsid w:val="00596968"/>
    <w:rsid w:val="00597292"/>
    <w:rsid w:val="005A29C6"/>
    <w:rsid w:val="005B2860"/>
    <w:rsid w:val="005C1572"/>
    <w:rsid w:val="005C228C"/>
    <w:rsid w:val="005C4AE3"/>
    <w:rsid w:val="005C5F02"/>
    <w:rsid w:val="005D33B8"/>
    <w:rsid w:val="005D5BF2"/>
    <w:rsid w:val="005D6563"/>
    <w:rsid w:val="005D7420"/>
    <w:rsid w:val="005E1E27"/>
    <w:rsid w:val="005E5922"/>
    <w:rsid w:val="005E610D"/>
    <w:rsid w:val="005F0C9C"/>
    <w:rsid w:val="00600887"/>
    <w:rsid w:val="006041FB"/>
    <w:rsid w:val="00606CB0"/>
    <w:rsid w:val="006122E3"/>
    <w:rsid w:val="006125B8"/>
    <w:rsid w:val="00614B32"/>
    <w:rsid w:val="00615ECB"/>
    <w:rsid w:val="006212E4"/>
    <w:rsid w:val="0062752E"/>
    <w:rsid w:val="00631108"/>
    <w:rsid w:val="00632E22"/>
    <w:rsid w:val="006345AF"/>
    <w:rsid w:val="006371F3"/>
    <w:rsid w:val="00637584"/>
    <w:rsid w:val="00640A6F"/>
    <w:rsid w:val="0064290A"/>
    <w:rsid w:val="00646ADB"/>
    <w:rsid w:val="00647B51"/>
    <w:rsid w:val="00650F34"/>
    <w:rsid w:val="00652409"/>
    <w:rsid w:val="006529D6"/>
    <w:rsid w:val="00654A4C"/>
    <w:rsid w:val="00660339"/>
    <w:rsid w:val="00662603"/>
    <w:rsid w:val="00666ACD"/>
    <w:rsid w:val="00666EED"/>
    <w:rsid w:val="00671B2D"/>
    <w:rsid w:val="00676913"/>
    <w:rsid w:val="0067793D"/>
    <w:rsid w:val="006867EC"/>
    <w:rsid w:val="00686AA3"/>
    <w:rsid w:val="006A4991"/>
    <w:rsid w:val="006A6BCC"/>
    <w:rsid w:val="006A7053"/>
    <w:rsid w:val="006B1112"/>
    <w:rsid w:val="006B1D9C"/>
    <w:rsid w:val="006B2C86"/>
    <w:rsid w:val="006B3330"/>
    <w:rsid w:val="006B60D8"/>
    <w:rsid w:val="006B636A"/>
    <w:rsid w:val="006B6541"/>
    <w:rsid w:val="006C03A2"/>
    <w:rsid w:val="006C2DE5"/>
    <w:rsid w:val="006C47A7"/>
    <w:rsid w:val="006C78EC"/>
    <w:rsid w:val="006C7C81"/>
    <w:rsid w:val="006D1E94"/>
    <w:rsid w:val="006D34E3"/>
    <w:rsid w:val="006D5068"/>
    <w:rsid w:val="006D64ED"/>
    <w:rsid w:val="006F0E76"/>
    <w:rsid w:val="006F4DCF"/>
    <w:rsid w:val="00701636"/>
    <w:rsid w:val="00705B5C"/>
    <w:rsid w:val="007107AF"/>
    <w:rsid w:val="00717927"/>
    <w:rsid w:val="00717B08"/>
    <w:rsid w:val="00720983"/>
    <w:rsid w:val="00720E17"/>
    <w:rsid w:val="00721E81"/>
    <w:rsid w:val="00722359"/>
    <w:rsid w:val="0073127D"/>
    <w:rsid w:val="00732F29"/>
    <w:rsid w:val="00745B1E"/>
    <w:rsid w:val="00746925"/>
    <w:rsid w:val="007469EE"/>
    <w:rsid w:val="0074719C"/>
    <w:rsid w:val="00751F0E"/>
    <w:rsid w:val="007536E1"/>
    <w:rsid w:val="007555CE"/>
    <w:rsid w:val="0076069C"/>
    <w:rsid w:val="007628C7"/>
    <w:rsid w:val="00762FBD"/>
    <w:rsid w:val="0076503D"/>
    <w:rsid w:val="007650DD"/>
    <w:rsid w:val="00773F51"/>
    <w:rsid w:val="00774B27"/>
    <w:rsid w:val="00777D33"/>
    <w:rsid w:val="00785338"/>
    <w:rsid w:val="007967BB"/>
    <w:rsid w:val="007A0BE4"/>
    <w:rsid w:val="007A4632"/>
    <w:rsid w:val="007A4FE9"/>
    <w:rsid w:val="007B59A2"/>
    <w:rsid w:val="007B5F97"/>
    <w:rsid w:val="007B783F"/>
    <w:rsid w:val="007C3B1A"/>
    <w:rsid w:val="007C6286"/>
    <w:rsid w:val="007C6C77"/>
    <w:rsid w:val="007D149C"/>
    <w:rsid w:val="007D3327"/>
    <w:rsid w:val="007D41DC"/>
    <w:rsid w:val="007D5E7D"/>
    <w:rsid w:val="007D6A46"/>
    <w:rsid w:val="007E262A"/>
    <w:rsid w:val="007E60E6"/>
    <w:rsid w:val="007E6DC8"/>
    <w:rsid w:val="007E7722"/>
    <w:rsid w:val="007F5A95"/>
    <w:rsid w:val="007F5BBB"/>
    <w:rsid w:val="007F72F6"/>
    <w:rsid w:val="007F7504"/>
    <w:rsid w:val="007F7DD5"/>
    <w:rsid w:val="008139D4"/>
    <w:rsid w:val="0082006B"/>
    <w:rsid w:val="0082009A"/>
    <w:rsid w:val="0082222D"/>
    <w:rsid w:val="008224A9"/>
    <w:rsid w:val="00823AC7"/>
    <w:rsid w:val="0082555B"/>
    <w:rsid w:val="00827278"/>
    <w:rsid w:val="00827754"/>
    <w:rsid w:val="00841C2A"/>
    <w:rsid w:val="00843A13"/>
    <w:rsid w:val="00852945"/>
    <w:rsid w:val="00865705"/>
    <w:rsid w:val="00871E48"/>
    <w:rsid w:val="0087555D"/>
    <w:rsid w:val="00876F92"/>
    <w:rsid w:val="00877B82"/>
    <w:rsid w:val="00880759"/>
    <w:rsid w:val="00882F5E"/>
    <w:rsid w:val="00885812"/>
    <w:rsid w:val="00892A21"/>
    <w:rsid w:val="008B04C0"/>
    <w:rsid w:val="008B3AAF"/>
    <w:rsid w:val="008B7B18"/>
    <w:rsid w:val="008C1FBF"/>
    <w:rsid w:val="008C7881"/>
    <w:rsid w:val="008D320A"/>
    <w:rsid w:val="008D327E"/>
    <w:rsid w:val="008F2071"/>
    <w:rsid w:val="008F53AB"/>
    <w:rsid w:val="00900B96"/>
    <w:rsid w:val="00903586"/>
    <w:rsid w:val="00914878"/>
    <w:rsid w:val="009220C3"/>
    <w:rsid w:val="009220CD"/>
    <w:rsid w:val="00922564"/>
    <w:rsid w:val="00932C73"/>
    <w:rsid w:val="00940062"/>
    <w:rsid w:val="00940DC4"/>
    <w:rsid w:val="009414A8"/>
    <w:rsid w:val="00942AE4"/>
    <w:rsid w:val="00943359"/>
    <w:rsid w:val="009452D6"/>
    <w:rsid w:val="00946399"/>
    <w:rsid w:val="00957AD5"/>
    <w:rsid w:val="00981684"/>
    <w:rsid w:val="00982C95"/>
    <w:rsid w:val="00995180"/>
    <w:rsid w:val="00996E19"/>
    <w:rsid w:val="0099787E"/>
    <w:rsid w:val="009A3329"/>
    <w:rsid w:val="009A3C2F"/>
    <w:rsid w:val="009B1A6B"/>
    <w:rsid w:val="009C0E20"/>
    <w:rsid w:val="009C4236"/>
    <w:rsid w:val="009D686D"/>
    <w:rsid w:val="009E1E28"/>
    <w:rsid w:val="009E49F2"/>
    <w:rsid w:val="009E4C80"/>
    <w:rsid w:val="009E5ED5"/>
    <w:rsid w:val="009F0A34"/>
    <w:rsid w:val="009F6BB4"/>
    <w:rsid w:val="009F6E7E"/>
    <w:rsid w:val="00A005BC"/>
    <w:rsid w:val="00A00F5D"/>
    <w:rsid w:val="00A03980"/>
    <w:rsid w:val="00A06350"/>
    <w:rsid w:val="00A22619"/>
    <w:rsid w:val="00A22BCD"/>
    <w:rsid w:val="00A232E1"/>
    <w:rsid w:val="00A24D99"/>
    <w:rsid w:val="00A24F1C"/>
    <w:rsid w:val="00A347AB"/>
    <w:rsid w:val="00A35577"/>
    <w:rsid w:val="00A415E4"/>
    <w:rsid w:val="00A4417D"/>
    <w:rsid w:val="00A44408"/>
    <w:rsid w:val="00A4531B"/>
    <w:rsid w:val="00A46683"/>
    <w:rsid w:val="00A4748E"/>
    <w:rsid w:val="00A5002E"/>
    <w:rsid w:val="00A52758"/>
    <w:rsid w:val="00A52E8E"/>
    <w:rsid w:val="00A62A29"/>
    <w:rsid w:val="00A63515"/>
    <w:rsid w:val="00A67150"/>
    <w:rsid w:val="00A7379A"/>
    <w:rsid w:val="00A74643"/>
    <w:rsid w:val="00A779F9"/>
    <w:rsid w:val="00A83407"/>
    <w:rsid w:val="00A852A2"/>
    <w:rsid w:val="00A859C7"/>
    <w:rsid w:val="00A900D8"/>
    <w:rsid w:val="00A94784"/>
    <w:rsid w:val="00A9702B"/>
    <w:rsid w:val="00AA25D4"/>
    <w:rsid w:val="00AA27A4"/>
    <w:rsid w:val="00AA30FA"/>
    <w:rsid w:val="00AA52E8"/>
    <w:rsid w:val="00AB27FB"/>
    <w:rsid w:val="00AB2A02"/>
    <w:rsid w:val="00AB456F"/>
    <w:rsid w:val="00AB46CB"/>
    <w:rsid w:val="00AB5BA6"/>
    <w:rsid w:val="00AC17D7"/>
    <w:rsid w:val="00AC3B2B"/>
    <w:rsid w:val="00AC46DA"/>
    <w:rsid w:val="00AD09D7"/>
    <w:rsid w:val="00AD5093"/>
    <w:rsid w:val="00AD51F9"/>
    <w:rsid w:val="00AD61DB"/>
    <w:rsid w:val="00AE1CF4"/>
    <w:rsid w:val="00AE1DB1"/>
    <w:rsid w:val="00AE30EE"/>
    <w:rsid w:val="00AF0E2E"/>
    <w:rsid w:val="00B177F9"/>
    <w:rsid w:val="00B224AB"/>
    <w:rsid w:val="00B22DCC"/>
    <w:rsid w:val="00B320E3"/>
    <w:rsid w:val="00B330FD"/>
    <w:rsid w:val="00B401A4"/>
    <w:rsid w:val="00B413EC"/>
    <w:rsid w:val="00B44A5C"/>
    <w:rsid w:val="00B47A68"/>
    <w:rsid w:val="00B505C9"/>
    <w:rsid w:val="00B55EE0"/>
    <w:rsid w:val="00B6206E"/>
    <w:rsid w:val="00B65A86"/>
    <w:rsid w:val="00B71C9F"/>
    <w:rsid w:val="00B77DBA"/>
    <w:rsid w:val="00B81D3B"/>
    <w:rsid w:val="00B9350E"/>
    <w:rsid w:val="00BA5591"/>
    <w:rsid w:val="00BA709A"/>
    <w:rsid w:val="00BB1F84"/>
    <w:rsid w:val="00BB5540"/>
    <w:rsid w:val="00BB7E44"/>
    <w:rsid w:val="00BC2026"/>
    <w:rsid w:val="00BC247A"/>
    <w:rsid w:val="00BC563E"/>
    <w:rsid w:val="00BD1C3A"/>
    <w:rsid w:val="00BD226F"/>
    <w:rsid w:val="00BE071D"/>
    <w:rsid w:val="00BE62A8"/>
    <w:rsid w:val="00BE6415"/>
    <w:rsid w:val="00BE6E15"/>
    <w:rsid w:val="00BF0CC8"/>
    <w:rsid w:val="00BF5EF6"/>
    <w:rsid w:val="00C03A14"/>
    <w:rsid w:val="00C1272B"/>
    <w:rsid w:val="00C20486"/>
    <w:rsid w:val="00C22C2B"/>
    <w:rsid w:val="00C23286"/>
    <w:rsid w:val="00C27A28"/>
    <w:rsid w:val="00C27EAF"/>
    <w:rsid w:val="00C33BBD"/>
    <w:rsid w:val="00C35204"/>
    <w:rsid w:val="00C35EB3"/>
    <w:rsid w:val="00C45B3A"/>
    <w:rsid w:val="00C45F1C"/>
    <w:rsid w:val="00C529C0"/>
    <w:rsid w:val="00C62434"/>
    <w:rsid w:val="00C657A9"/>
    <w:rsid w:val="00C7345E"/>
    <w:rsid w:val="00C818DD"/>
    <w:rsid w:val="00C821E3"/>
    <w:rsid w:val="00C84CA8"/>
    <w:rsid w:val="00C905B6"/>
    <w:rsid w:val="00CA140B"/>
    <w:rsid w:val="00CA606C"/>
    <w:rsid w:val="00CB1123"/>
    <w:rsid w:val="00CB24F3"/>
    <w:rsid w:val="00CB435F"/>
    <w:rsid w:val="00CB5166"/>
    <w:rsid w:val="00CB6A17"/>
    <w:rsid w:val="00CC0760"/>
    <w:rsid w:val="00CC7F96"/>
    <w:rsid w:val="00CD1687"/>
    <w:rsid w:val="00CD731C"/>
    <w:rsid w:val="00CE056F"/>
    <w:rsid w:val="00CF3AEC"/>
    <w:rsid w:val="00CF3B8A"/>
    <w:rsid w:val="00CF74E3"/>
    <w:rsid w:val="00D017EF"/>
    <w:rsid w:val="00D10F78"/>
    <w:rsid w:val="00D16ECA"/>
    <w:rsid w:val="00D239D7"/>
    <w:rsid w:val="00D23C91"/>
    <w:rsid w:val="00D27D11"/>
    <w:rsid w:val="00D36067"/>
    <w:rsid w:val="00D373DA"/>
    <w:rsid w:val="00D37A16"/>
    <w:rsid w:val="00D40106"/>
    <w:rsid w:val="00D507CB"/>
    <w:rsid w:val="00D50EFD"/>
    <w:rsid w:val="00D51FAD"/>
    <w:rsid w:val="00D56CF3"/>
    <w:rsid w:val="00D571FA"/>
    <w:rsid w:val="00D5766F"/>
    <w:rsid w:val="00D6255B"/>
    <w:rsid w:val="00D634D6"/>
    <w:rsid w:val="00D666F3"/>
    <w:rsid w:val="00D66819"/>
    <w:rsid w:val="00D73F9A"/>
    <w:rsid w:val="00D82F4C"/>
    <w:rsid w:val="00D86414"/>
    <w:rsid w:val="00D93567"/>
    <w:rsid w:val="00D94829"/>
    <w:rsid w:val="00D97E6A"/>
    <w:rsid w:val="00DA4B88"/>
    <w:rsid w:val="00DA6B52"/>
    <w:rsid w:val="00DB36F5"/>
    <w:rsid w:val="00DB7B2C"/>
    <w:rsid w:val="00DC11FB"/>
    <w:rsid w:val="00DC394A"/>
    <w:rsid w:val="00DC4AB0"/>
    <w:rsid w:val="00DC4B76"/>
    <w:rsid w:val="00DC6D3C"/>
    <w:rsid w:val="00DC749C"/>
    <w:rsid w:val="00DD4078"/>
    <w:rsid w:val="00DD42A1"/>
    <w:rsid w:val="00DD49E3"/>
    <w:rsid w:val="00DD5204"/>
    <w:rsid w:val="00DE361C"/>
    <w:rsid w:val="00DE47A4"/>
    <w:rsid w:val="00DE74B7"/>
    <w:rsid w:val="00DF3ABA"/>
    <w:rsid w:val="00DF67B2"/>
    <w:rsid w:val="00DF6920"/>
    <w:rsid w:val="00E0091C"/>
    <w:rsid w:val="00E02E15"/>
    <w:rsid w:val="00E208A8"/>
    <w:rsid w:val="00E20971"/>
    <w:rsid w:val="00E23BB9"/>
    <w:rsid w:val="00E2498D"/>
    <w:rsid w:val="00E267FC"/>
    <w:rsid w:val="00E26CCD"/>
    <w:rsid w:val="00E271E6"/>
    <w:rsid w:val="00E330EB"/>
    <w:rsid w:val="00E455AF"/>
    <w:rsid w:val="00E46181"/>
    <w:rsid w:val="00E52424"/>
    <w:rsid w:val="00E52F25"/>
    <w:rsid w:val="00E574F4"/>
    <w:rsid w:val="00E6242C"/>
    <w:rsid w:val="00E67435"/>
    <w:rsid w:val="00E70005"/>
    <w:rsid w:val="00E707BE"/>
    <w:rsid w:val="00E70A57"/>
    <w:rsid w:val="00E737D2"/>
    <w:rsid w:val="00E7479A"/>
    <w:rsid w:val="00E76644"/>
    <w:rsid w:val="00E76B26"/>
    <w:rsid w:val="00E8064D"/>
    <w:rsid w:val="00E825A3"/>
    <w:rsid w:val="00E861B9"/>
    <w:rsid w:val="00E8683B"/>
    <w:rsid w:val="00E87EF9"/>
    <w:rsid w:val="00E920D5"/>
    <w:rsid w:val="00E9313E"/>
    <w:rsid w:val="00E94311"/>
    <w:rsid w:val="00EA5893"/>
    <w:rsid w:val="00EB026E"/>
    <w:rsid w:val="00EB4DF6"/>
    <w:rsid w:val="00EB7680"/>
    <w:rsid w:val="00EC2258"/>
    <w:rsid w:val="00ED0FB2"/>
    <w:rsid w:val="00ED792D"/>
    <w:rsid w:val="00EE1786"/>
    <w:rsid w:val="00EE5284"/>
    <w:rsid w:val="00EE5830"/>
    <w:rsid w:val="00EF38B6"/>
    <w:rsid w:val="00EF5791"/>
    <w:rsid w:val="00F02464"/>
    <w:rsid w:val="00F071C0"/>
    <w:rsid w:val="00F119DA"/>
    <w:rsid w:val="00F11EFE"/>
    <w:rsid w:val="00F12E22"/>
    <w:rsid w:val="00F140E2"/>
    <w:rsid w:val="00F22325"/>
    <w:rsid w:val="00F22F63"/>
    <w:rsid w:val="00F26FE9"/>
    <w:rsid w:val="00F33F92"/>
    <w:rsid w:val="00F34A89"/>
    <w:rsid w:val="00F35D5C"/>
    <w:rsid w:val="00F41FE5"/>
    <w:rsid w:val="00F42E71"/>
    <w:rsid w:val="00F44334"/>
    <w:rsid w:val="00F47042"/>
    <w:rsid w:val="00F54F47"/>
    <w:rsid w:val="00F553F5"/>
    <w:rsid w:val="00F558EE"/>
    <w:rsid w:val="00F56624"/>
    <w:rsid w:val="00F605AD"/>
    <w:rsid w:val="00F77669"/>
    <w:rsid w:val="00F77E62"/>
    <w:rsid w:val="00F814BD"/>
    <w:rsid w:val="00F87A33"/>
    <w:rsid w:val="00F87CD5"/>
    <w:rsid w:val="00F90DBE"/>
    <w:rsid w:val="00F93499"/>
    <w:rsid w:val="00F94FAF"/>
    <w:rsid w:val="00FA2100"/>
    <w:rsid w:val="00FA3758"/>
    <w:rsid w:val="00FA70F0"/>
    <w:rsid w:val="00FB4FD3"/>
    <w:rsid w:val="00FB51CF"/>
    <w:rsid w:val="00FB7D01"/>
    <w:rsid w:val="00FB7FA2"/>
    <w:rsid w:val="00FC1217"/>
    <w:rsid w:val="00FC4E49"/>
    <w:rsid w:val="00FC7AA3"/>
    <w:rsid w:val="00FD1FC2"/>
    <w:rsid w:val="00FE03F5"/>
    <w:rsid w:val="00FE5E9A"/>
    <w:rsid w:val="00FF0084"/>
    <w:rsid w:val="00FF1102"/>
    <w:rsid w:val="00FF550E"/>
    <w:rsid w:val="011D5A46"/>
    <w:rsid w:val="040E5EA0"/>
    <w:rsid w:val="084C4BAF"/>
    <w:rsid w:val="0C9E5113"/>
    <w:rsid w:val="0D7718CD"/>
    <w:rsid w:val="16C40470"/>
    <w:rsid w:val="262E1A92"/>
    <w:rsid w:val="2BF3A6ED"/>
    <w:rsid w:val="2EFFDB21"/>
    <w:rsid w:val="31C54B3C"/>
    <w:rsid w:val="3396503B"/>
    <w:rsid w:val="347B38B6"/>
    <w:rsid w:val="35FDD373"/>
    <w:rsid w:val="38065B35"/>
    <w:rsid w:val="3B90292B"/>
    <w:rsid w:val="3E6AF622"/>
    <w:rsid w:val="3FFFD62B"/>
    <w:rsid w:val="41D16C61"/>
    <w:rsid w:val="437D58C3"/>
    <w:rsid w:val="46BC272F"/>
    <w:rsid w:val="4A92268D"/>
    <w:rsid w:val="52035056"/>
    <w:rsid w:val="54F24B15"/>
    <w:rsid w:val="5BC821BD"/>
    <w:rsid w:val="5C943956"/>
    <w:rsid w:val="5DEF27EE"/>
    <w:rsid w:val="697A7955"/>
    <w:rsid w:val="6C9F5F15"/>
    <w:rsid w:val="6FEFDB15"/>
    <w:rsid w:val="6FF36A2B"/>
    <w:rsid w:val="78F3B0F8"/>
    <w:rsid w:val="7F5865A3"/>
    <w:rsid w:val="7F7C0CF1"/>
    <w:rsid w:val="7F7FBEB6"/>
    <w:rsid w:val="7F8F834B"/>
    <w:rsid w:val="7F982921"/>
    <w:rsid w:val="9BFEEE9A"/>
    <w:rsid w:val="AFBF1499"/>
    <w:rsid w:val="BADE4B6A"/>
    <w:rsid w:val="BFF7A495"/>
    <w:rsid w:val="BFFFFD51"/>
    <w:rsid w:val="D3FDDF08"/>
    <w:rsid w:val="D79E76AC"/>
    <w:rsid w:val="ECDE2050"/>
    <w:rsid w:val="EFFBD22E"/>
    <w:rsid w:val="FBFF0891"/>
    <w:rsid w:val="FCFF6F00"/>
    <w:rsid w:val="FDB4DB3A"/>
    <w:rsid w:val="FEF70CC7"/>
    <w:rsid w:val="FF45E8AD"/>
    <w:rsid w:val="FF652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5">
    <w:name w:val="Document Map"/>
    <w:basedOn w:val="1"/>
    <w:link w:val="22"/>
    <w:semiHidden/>
    <w:unhideWhenUsed/>
    <w:qFormat/>
    <w:uiPriority w:val="99"/>
    <w:rPr>
      <w:rFonts w:ascii="宋体" w:eastAsia="宋体"/>
      <w:sz w:val="18"/>
      <w:szCs w:val="18"/>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3"/>
    <w:semiHidden/>
    <w:unhideWhenUsed/>
    <w:qFormat/>
    <w:uiPriority w:val="99"/>
    <w:pPr>
      <w:ind w:left="100" w:leftChars="2500"/>
    </w:p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ind w:firstLine="0" w:firstLineChars="0"/>
    </w:pPr>
    <w:rPr>
      <w:rFonts w:eastAsia="宋体" w:cs="Times New Roman"/>
      <w:sz w:val="24"/>
      <w:szCs w:val="20"/>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FollowedHyperlink"/>
    <w:basedOn w:val="16"/>
    <w:semiHidden/>
    <w:unhideWhenUsed/>
    <w:qFormat/>
    <w:uiPriority w:val="99"/>
    <w:rPr>
      <w:color w:val="954F72"/>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character" w:customStyle="1" w:styleId="20">
    <w:name w:val="标题 1 字符"/>
    <w:basedOn w:val="16"/>
    <w:link w:val="3"/>
    <w:qFormat/>
    <w:uiPriority w:val="9"/>
    <w:rPr>
      <w:b/>
      <w:bCs/>
      <w:kern w:val="44"/>
      <w:sz w:val="44"/>
      <w:szCs w:val="44"/>
    </w:rPr>
  </w:style>
  <w:style w:type="character" w:customStyle="1" w:styleId="21">
    <w:name w:val="标题 2 字符"/>
    <w:basedOn w:val="16"/>
    <w:link w:val="4"/>
    <w:semiHidden/>
    <w:qFormat/>
    <w:uiPriority w:val="9"/>
    <w:rPr>
      <w:rFonts w:asciiTheme="majorHAnsi" w:hAnsiTheme="majorHAnsi" w:eastAsiaTheme="majorEastAsia" w:cstheme="majorBidi"/>
      <w:b/>
      <w:bCs/>
      <w:kern w:val="2"/>
      <w:sz w:val="32"/>
      <w:szCs w:val="32"/>
    </w:rPr>
  </w:style>
  <w:style w:type="character" w:customStyle="1" w:styleId="22">
    <w:name w:val="文档结构图 字符"/>
    <w:basedOn w:val="16"/>
    <w:link w:val="5"/>
    <w:semiHidden/>
    <w:qFormat/>
    <w:uiPriority w:val="99"/>
    <w:rPr>
      <w:rFonts w:ascii="宋体" w:eastAsia="宋体"/>
      <w:sz w:val="18"/>
      <w:szCs w:val="18"/>
    </w:rPr>
  </w:style>
  <w:style w:type="character" w:customStyle="1" w:styleId="23">
    <w:name w:val="日期 字符"/>
    <w:basedOn w:val="16"/>
    <w:link w:val="8"/>
    <w:semiHidden/>
    <w:qFormat/>
    <w:uiPriority w:val="99"/>
    <w:rPr>
      <w:rFonts w:eastAsia="仿宋_GB2312" w:cstheme="minorBidi"/>
      <w:kern w:val="2"/>
      <w:sz w:val="28"/>
      <w:szCs w:val="22"/>
    </w:rPr>
  </w:style>
  <w:style w:type="character" w:customStyle="1" w:styleId="24">
    <w:name w:val="批注框文本 字符"/>
    <w:basedOn w:val="16"/>
    <w:link w:val="2"/>
    <w:semiHidden/>
    <w:qFormat/>
    <w:uiPriority w:val="99"/>
    <w:rPr>
      <w:sz w:val="18"/>
      <w:szCs w:val="18"/>
    </w:rPr>
  </w:style>
  <w:style w:type="character" w:customStyle="1" w:styleId="25">
    <w:name w:val="页脚 字符"/>
    <w:basedOn w:val="16"/>
    <w:link w:val="9"/>
    <w:qFormat/>
    <w:uiPriority w:val="99"/>
    <w:rPr>
      <w:sz w:val="18"/>
      <w:szCs w:val="18"/>
    </w:rPr>
  </w:style>
  <w:style w:type="character" w:customStyle="1" w:styleId="26">
    <w:name w:val="页眉 字符"/>
    <w:basedOn w:val="16"/>
    <w:link w:val="10"/>
    <w:qFormat/>
    <w:uiPriority w:val="99"/>
    <w:rPr>
      <w:sz w:val="18"/>
      <w:szCs w:val="18"/>
    </w:rPr>
  </w:style>
  <w:style w:type="paragraph" w:styleId="27">
    <w:name w:val="List Paragraph"/>
    <w:basedOn w:val="1"/>
    <w:qFormat/>
    <w:uiPriority w:val="34"/>
    <w:pPr>
      <w:ind w:firstLine="420"/>
    </w:pPr>
  </w:style>
  <w:style w:type="table" w:customStyle="1" w:styleId="28">
    <w:name w:val="网格型1"/>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30">
    <w:name w:val="网格型2"/>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表格"/>
    <w:basedOn w:val="1"/>
    <w:link w:val="33"/>
    <w:qFormat/>
    <w:uiPriority w:val="0"/>
    <w:pPr>
      <w:ind w:firstLine="0" w:firstLineChars="0"/>
      <w:jc w:val="center"/>
    </w:pPr>
    <w:rPr>
      <w:rFonts w:cs="Times New Roman"/>
      <w:color w:val="000000"/>
      <w:sz w:val="21"/>
      <w:szCs w:val="21"/>
    </w:rPr>
  </w:style>
  <w:style w:type="character" w:customStyle="1" w:styleId="33">
    <w:name w:val="表格 Char"/>
    <w:basedOn w:val="16"/>
    <w:link w:val="32"/>
    <w:qFormat/>
    <w:uiPriority w:val="0"/>
    <w:rPr>
      <w:rFonts w:ascii="Times New Roman" w:hAnsi="Times New Roman" w:eastAsia="仿宋_GB2312" w:cs="Times New Roman"/>
      <w:color w:val="000000"/>
      <w:szCs w:val="21"/>
    </w:rPr>
  </w:style>
  <w:style w:type="paragraph" w:customStyle="1" w:styleId="34">
    <w:name w:val="一级标题lq"/>
    <w:basedOn w:val="1"/>
    <w:link w:val="35"/>
    <w:qFormat/>
    <w:uiPriority w:val="0"/>
    <w:pPr>
      <w:spacing w:beforeLines="50" w:afterLines="50" w:line="360" w:lineRule="auto"/>
      <w:outlineLvl w:val="0"/>
    </w:pPr>
    <w:rPr>
      <w:rFonts w:ascii="仿宋_GB2312" w:hAnsi="微软雅黑" w:cs="Times New Roman"/>
      <w:b/>
      <w:sz w:val="32"/>
      <w:szCs w:val="28"/>
    </w:rPr>
  </w:style>
  <w:style w:type="character" w:customStyle="1" w:styleId="35">
    <w:name w:val="一级标题lq Char"/>
    <w:basedOn w:val="16"/>
    <w:link w:val="34"/>
    <w:qFormat/>
    <w:uiPriority w:val="0"/>
    <w:rPr>
      <w:rFonts w:ascii="仿宋_GB2312" w:hAnsi="微软雅黑" w:eastAsia="仿宋_GB2312" w:cs="Times New Roman"/>
      <w:b/>
      <w:sz w:val="32"/>
      <w:szCs w:val="28"/>
    </w:rPr>
  </w:style>
  <w:style w:type="paragraph" w:customStyle="1" w:styleId="36">
    <w:name w:val="二级标题lq"/>
    <w:basedOn w:val="1"/>
    <w:link w:val="37"/>
    <w:qFormat/>
    <w:uiPriority w:val="0"/>
    <w:pPr>
      <w:spacing w:beforeLines="50" w:afterLines="50" w:line="360" w:lineRule="auto"/>
      <w:outlineLvl w:val="1"/>
    </w:pPr>
    <w:rPr>
      <w:rFonts w:ascii="仿宋_GB2312" w:hAnsi="黑体" w:cs="Times New Roman"/>
      <w:b/>
      <w:szCs w:val="28"/>
    </w:rPr>
  </w:style>
  <w:style w:type="character" w:customStyle="1" w:styleId="37">
    <w:name w:val="二级标题lq Char"/>
    <w:basedOn w:val="16"/>
    <w:link w:val="36"/>
    <w:qFormat/>
    <w:uiPriority w:val="0"/>
    <w:rPr>
      <w:rFonts w:ascii="仿宋_GB2312" w:hAnsi="黑体" w:eastAsia="仿宋_GB2312" w:cs="Times New Roman"/>
      <w:b/>
      <w:sz w:val="28"/>
      <w:szCs w:val="28"/>
    </w:rPr>
  </w:style>
  <w:style w:type="paragraph" w:customStyle="1" w:styleId="38">
    <w:name w:val="表头"/>
    <w:basedOn w:val="1"/>
    <w:link w:val="39"/>
    <w:qFormat/>
    <w:uiPriority w:val="0"/>
    <w:pPr>
      <w:spacing w:line="360" w:lineRule="auto"/>
      <w:ind w:firstLine="0" w:firstLineChars="0"/>
      <w:jc w:val="center"/>
    </w:pPr>
    <w:rPr>
      <w:rFonts w:cs="Times New Roman"/>
      <w:color w:val="000000"/>
      <w:sz w:val="24"/>
      <w:szCs w:val="28"/>
    </w:rPr>
  </w:style>
  <w:style w:type="character" w:customStyle="1" w:styleId="39">
    <w:name w:val="表头 Char"/>
    <w:basedOn w:val="16"/>
    <w:link w:val="38"/>
    <w:qFormat/>
    <w:uiPriority w:val="0"/>
    <w:rPr>
      <w:rFonts w:ascii="Times New Roman" w:hAnsi="Times New Roman" w:eastAsia="仿宋_GB2312" w:cs="Times New Roman"/>
      <w:color w:val="000000"/>
      <w:sz w:val="24"/>
      <w:szCs w:val="28"/>
    </w:rPr>
  </w:style>
  <w:style w:type="paragraph" w:customStyle="1" w:styleId="40">
    <w:name w:val="三级标题lq"/>
    <w:basedOn w:val="36"/>
    <w:link w:val="41"/>
    <w:qFormat/>
    <w:uiPriority w:val="0"/>
    <w:pPr>
      <w:spacing w:beforeLines="0" w:afterLines="0"/>
      <w:outlineLvl w:val="2"/>
    </w:pPr>
    <w:rPr>
      <w:rFonts w:ascii="Times New Roman" w:hAnsi="Times New Roman"/>
    </w:rPr>
  </w:style>
  <w:style w:type="character" w:customStyle="1" w:styleId="41">
    <w:name w:val="三级标题lq Char"/>
    <w:basedOn w:val="37"/>
    <w:link w:val="40"/>
    <w:qFormat/>
    <w:uiPriority w:val="0"/>
    <w:rPr>
      <w:rFonts w:ascii="仿宋_GB2312" w:hAnsi="黑体" w:eastAsia="仿宋_GB2312" w:cs="Times New Roman"/>
      <w:kern w:val="2"/>
      <w:sz w:val="28"/>
      <w:szCs w:val="28"/>
    </w:rPr>
  </w:style>
  <w:style w:type="paragraph" w:customStyle="1" w:styleId="42">
    <w:name w:val="font5"/>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3">
    <w:name w:val="font6"/>
    <w:basedOn w:val="1"/>
    <w:qFormat/>
    <w:uiPriority w:val="0"/>
    <w:pPr>
      <w:widowControl/>
      <w:spacing w:before="100" w:beforeAutospacing="1" w:after="100" w:afterAutospacing="1"/>
      <w:ind w:firstLine="0" w:firstLineChars="0"/>
      <w:jc w:val="left"/>
    </w:pPr>
    <w:rPr>
      <w:rFonts w:eastAsia="宋体" w:cs="Times New Roman"/>
      <w:color w:val="000000"/>
      <w:kern w:val="0"/>
      <w:sz w:val="21"/>
      <w:szCs w:val="21"/>
    </w:rPr>
  </w:style>
  <w:style w:type="paragraph" w:customStyle="1" w:styleId="44">
    <w:name w:val="font7"/>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45">
    <w:name w:val="font8"/>
    <w:basedOn w:val="1"/>
    <w:qFormat/>
    <w:uiPriority w:val="0"/>
    <w:pPr>
      <w:widowControl/>
      <w:spacing w:before="100" w:beforeAutospacing="1" w:after="100" w:afterAutospacing="1"/>
      <w:ind w:firstLine="0" w:firstLineChars="0"/>
      <w:jc w:val="left"/>
    </w:pPr>
    <w:rPr>
      <w:rFonts w:ascii="仿宋_GB2312" w:hAnsi="宋体" w:cs="宋体"/>
      <w:color w:val="000000"/>
      <w:kern w:val="0"/>
      <w:sz w:val="21"/>
      <w:szCs w:val="21"/>
    </w:rPr>
  </w:style>
  <w:style w:type="paragraph" w:customStyle="1" w:styleId="46">
    <w:name w:val="font9"/>
    <w:basedOn w:val="1"/>
    <w:qFormat/>
    <w:uiPriority w:val="0"/>
    <w:pPr>
      <w:widowControl/>
      <w:spacing w:before="100" w:beforeAutospacing="1" w:after="100" w:afterAutospacing="1"/>
      <w:ind w:firstLine="0" w:firstLineChars="0"/>
      <w:jc w:val="left"/>
    </w:pPr>
    <w:rPr>
      <w:rFonts w:ascii="仿宋_GB2312" w:hAnsi="宋体" w:cs="宋体"/>
      <w:kern w:val="0"/>
      <w:sz w:val="21"/>
      <w:szCs w:val="21"/>
    </w:rPr>
  </w:style>
  <w:style w:type="paragraph" w:customStyle="1" w:styleId="47">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48">
    <w:name w:val="xl69"/>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49">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top"/>
    </w:pPr>
    <w:rPr>
      <w:rFonts w:ascii="仿宋_GB2312" w:hAnsi="宋体" w:cs="宋体"/>
      <w:color w:val="000000"/>
      <w:kern w:val="0"/>
      <w:sz w:val="21"/>
      <w:szCs w:val="21"/>
    </w:rPr>
  </w:style>
  <w:style w:type="paragraph" w:customStyle="1" w:styleId="50">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1">
    <w:name w:val="xl72"/>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2">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53">
    <w:name w:val="xl74"/>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top"/>
    </w:pPr>
    <w:rPr>
      <w:rFonts w:eastAsia="宋体" w:cs="Times New Roman"/>
      <w:color w:val="000000"/>
      <w:kern w:val="0"/>
      <w:sz w:val="21"/>
      <w:szCs w:val="21"/>
    </w:rPr>
  </w:style>
  <w:style w:type="paragraph" w:customStyle="1" w:styleId="54">
    <w:name w:val="xl75"/>
    <w:basedOn w:val="1"/>
    <w:qFormat/>
    <w:uiPriority w:val="0"/>
    <w:pPr>
      <w:widowControl/>
      <w:pBdr>
        <w:bottom w:val="single" w:color="auto" w:sz="8" w:space="0"/>
        <w:right w:val="single" w:color="auto" w:sz="8" w:space="0"/>
      </w:pBdr>
      <w:spacing w:before="100" w:beforeAutospacing="1" w:after="100" w:afterAutospacing="1"/>
      <w:ind w:firstLine="0" w:firstLineChars="0"/>
      <w:jc w:val="left"/>
    </w:pPr>
    <w:rPr>
      <w:rFonts w:ascii="Calibri" w:hAnsi="Calibri" w:eastAsia="宋体" w:cs="宋体"/>
      <w:kern w:val="0"/>
      <w:sz w:val="21"/>
      <w:szCs w:val="21"/>
    </w:rPr>
  </w:style>
  <w:style w:type="paragraph" w:customStyle="1" w:styleId="55">
    <w:name w:val="xl76"/>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kern w:val="0"/>
      <w:sz w:val="21"/>
      <w:szCs w:val="21"/>
    </w:rPr>
  </w:style>
  <w:style w:type="paragraph" w:customStyle="1" w:styleId="56">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kern w:val="0"/>
      <w:sz w:val="21"/>
      <w:szCs w:val="21"/>
    </w:rPr>
  </w:style>
  <w:style w:type="paragraph" w:customStyle="1" w:styleId="57">
    <w:name w:val="xl78"/>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eastAsia="宋体" w:cs="Times New Roman"/>
      <w:color w:val="000000"/>
      <w:kern w:val="0"/>
      <w:sz w:val="21"/>
      <w:szCs w:val="21"/>
    </w:rPr>
  </w:style>
  <w:style w:type="table" w:customStyle="1" w:styleId="61">
    <w:name w:val="网格型1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xl6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 w:type="paragraph" w:customStyle="1" w:styleId="63">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608</Words>
  <Characters>3471</Characters>
  <Lines>28</Lines>
  <Paragraphs>8</Paragraphs>
  <TotalTime>18</TotalTime>
  <ScaleCrop>false</ScaleCrop>
  <LinksUpToDate>false</LinksUpToDate>
  <CharactersWithSpaces>4071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2018-10-29T12:19:00Z</dcterms:created>
  <dc:creator>lenovo</dc:creator>
  <cp:lastModifiedBy>user</cp:lastModifiedBy>
  <cp:lastPrinted>2018-12-14T01:15:00Z</cp:lastPrinted>
  <dcterms:modified xsi:type="dcterms:W3CDTF">2024-01-03T15:44:59Z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