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adjustRightInd w:val="0"/>
        <w:snapToGrid w:val="0"/>
        <w:spacing w:line="600" w:lineRule="exact"/>
        <w:ind w:firstLine="0" w:firstLineChars="0"/>
        <w:jc w:val="center"/>
        <w:rPr>
          <w:sz w:val="32"/>
          <w:szCs w:val="32"/>
        </w:rPr>
      </w:pPr>
      <w:bookmarkStart w:id="0" w:name="_Toc501829004"/>
    </w:p>
    <w:p>
      <w:pPr>
        <w:overflowPunct w:val="0"/>
        <w:topLinePunct/>
        <w:adjustRightInd w:val="0"/>
        <w:snapToGrid w:val="0"/>
        <w:spacing w:line="600" w:lineRule="exact"/>
        <w:ind w:firstLine="0" w:firstLineChars="0"/>
        <w:jc w:val="center"/>
        <w:rPr>
          <w:sz w:val="32"/>
          <w:szCs w:val="32"/>
        </w:rPr>
      </w:pPr>
    </w:p>
    <w:p>
      <w:pPr>
        <w:overflowPunct w:val="0"/>
        <w:topLinePunct/>
        <w:adjustRightInd w:val="0"/>
        <w:snapToGrid w:val="0"/>
        <w:spacing w:line="600" w:lineRule="exact"/>
        <w:ind w:firstLine="0" w:firstLineChars="0"/>
        <w:jc w:val="center"/>
        <w:rPr>
          <w:sz w:val="32"/>
          <w:szCs w:val="32"/>
        </w:rPr>
      </w:pPr>
    </w:p>
    <w:p>
      <w:pPr>
        <w:overflowPunct w:val="0"/>
        <w:topLinePunct/>
        <w:adjustRightInd w:val="0"/>
        <w:snapToGrid w:val="0"/>
        <w:spacing w:line="600" w:lineRule="exact"/>
        <w:ind w:firstLine="0" w:firstLineChars="0"/>
        <w:jc w:val="center"/>
        <w:rPr>
          <w:sz w:val="32"/>
          <w:szCs w:val="32"/>
        </w:rPr>
      </w:pPr>
    </w:p>
    <w:p>
      <w:pPr>
        <w:overflowPunct w:val="0"/>
        <w:topLinePunct/>
        <w:adjustRightInd w:val="0"/>
        <w:snapToGrid w:val="0"/>
        <w:spacing w:line="600" w:lineRule="exact"/>
        <w:ind w:firstLine="0" w:firstLineChars="0"/>
        <w:jc w:val="center"/>
        <w:rPr>
          <w:sz w:val="32"/>
          <w:szCs w:val="32"/>
        </w:rPr>
      </w:pPr>
    </w:p>
    <w:p>
      <w:pPr>
        <w:overflowPunct w:val="0"/>
        <w:topLinePunct/>
        <w:adjustRightInd w:val="0"/>
        <w:snapToGrid w:val="0"/>
        <w:spacing w:line="600" w:lineRule="exact"/>
        <w:ind w:firstLine="0" w:firstLineChars="0"/>
        <w:jc w:val="center"/>
        <w:rPr>
          <w:sz w:val="32"/>
          <w:szCs w:val="32"/>
        </w:rPr>
      </w:pPr>
    </w:p>
    <w:p>
      <w:pPr>
        <w:overflowPunct w:val="0"/>
        <w:topLinePunct/>
        <w:adjustRightInd w:val="0"/>
        <w:snapToGrid w:val="0"/>
        <w:spacing w:line="600" w:lineRule="exact"/>
        <w:ind w:firstLine="0" w:firstLineChars="0"/>
        <w:jc w:val="center"/>
        <w:rPr>
          <w:sz w:val="32"/>
          <w:szCs w:val="32"/>
        </w:rPr>
      </w:pPr>
    </w:p>
    <w:p>
      <w:pPr>
        <w:overflowPunct w:val="0"/>
        <w:topLinePunct/>
        <w:adjustRightInd w:val="0"/>
        <w:snapToGrid w:val="0"/>
        <w:spacing w:line="600" w:lineRule="exact"/>
        <w:ind w:firstLine="0" w:firstLineChars="0"/>
        <w:jc w:val="center"/>
        <w:rPr>
          <w:sz w:val="32"/>
          <w:szCs w:val="32"/>
        </w:rPr>
      </w:pPr>
    </w:p>
    <w:p>
      <w:pPr>
        <w:overflowPunct w:val="0"/>
        <w:topLinePunct/>
        <w:adjustRightInd w:val="0"/>
        <w:snapToGrid w:val="0"/>
        <w:spacing w:line="600" w:lineRule="exact"/>
        <w:ind w:firstLine="0" w:firstLineChars="0"/>
        <w:jc w:val="center"/>
        <w:rPr>
          <w:sz w:val="32"/>
          <w:szCs w:val="32"/>
        </w:rPr>
      </w:pPr>
    </w:p>
    <w:p>
      <w:pPr>
        <w:overflowPunct w:val="0"/>
        <w:topLinePunct/>
        <w:adjustRightInd w:val="0"/>
        <w:snapToGrid w:val="0"/>
        <w:spacing w:line="540" w:lineRule="exact"/>
        <w:ind w:firstLine="0" w:firstLineChars="0"/>
        <w:jc w:val="center"/>
        <w:rPr>
          <w:sz w:val="32"/>
          <w:szCs w:val="32"/>
        </w:rPr>
      </w:pPr>
      <w:r>
        <w:rPr>
          <w:rFonts w:hint="eastAsia"/>
          <w:sz w:val="32"/>
          <w:szCs w:val="32"/>
        </w:rPr>
        <w:t>川环规</w:t>
      </w:r>
      <w:r>
        <w:rPr>
          <w:sz w:val="32"/>
          <w:szCs w:val="32"/>
        </w:rPr>
        <w:t>〔20</w:t>
      </w:r>
      <w:r>
        <w:rPr>
          <w:rFonts w:hint="eastAsia"/>
          <w:sz w:val="32"/>
          <w:szCs w:val="32"/>
        </w:rPr>
        <w:t>23</w:t>
      </w:r>
      <w:r>
        <w:rPr>
          <w:sz w:val="32"/>
          <w:szCs w:val="32"/>
        </w:rPr>
        <w:t>〕5号</w:t>
      </w:r>
    </w:p>
    <w:p>
      <w:pPr>
        <w:overflowPunct w:val="0"/>
        <w:topLinePunct/>
        <w:adjustRightInd w:val="0"/>
        <w:snapToGrid w:val="0"/>
        <w:spacing w:line="620" w:lineRule="exact"/>
        <w:ind w:firstLine="0" w:firstLineChars="0"/>
        <w:jc w:val="center"/>
        <w:rPr>
          <w:rFonts w:eastAsia="方正小标宋简体" w:cs="Times New Roman"/>
          <w:sz w:val="44"/>
          <w:szCs w:val="44"/>
        </w:rPr>
      </w:pPr>
    </w:p>
    <w:p>
      <w:pPr>
        <w:overflowPunct w:val="0"/>
        <w:topLinePunct/>
        <w:adjustRightInd w:val="0"/>
        <w:snapToGrid w:val="0"/>
        <w:spacing w:line="600" w:lineRule="exact"/>
        <w:ind w:firstLine="0" w:firstLineChars="0"/>
        <w:jc w:val="center"/>
        <w:rPr>
          <w:rFonts w:eastAsia="方正小标宋简体" w:cs="Times New Roman"/>
          <w:sz w:val="44"/>
          <w:szCs w:val="44"/>
        </w:rPr>
      </w:pPr>
    </w:p>
    <w:p>
      <w:pPr>
        <w:overflowPunct w:val="0"/>
        <w:topLinePunct/>
        <w:adjustRightInd w:val="0"/>
        <w:snapToGrid w:val="0"/>
        <w:spacing w:line="600" w:lineRule="exact"/>
        <w:ind w:firstLine="0" w:firstLineChars="0"/>
        <w:jc w:val="center"/>
        <w:rPr>
          <w:rFonts w:eastAsia="方正小标宋简体" w:cs="Times New Roman"/>
          <w:sz w:val="44"/>
          <w:szCs w:val="44"/>
        </w:rPr>
      </w:pPr>
      <w:r>
        <w:rPr>
          <w:rFonts w:eastAsia="方正小标宋简体" w:cs="Times New Roman"/>
          <w:spacing w:val="-8"/>
          <w:kern w:val="0"/>
          <w:sz w:val="44"/>
          <w:szCs w:val="44"/>
        </w:rPr>
        <w:t>关于</w:t>
      </w:r>
      <w:r>
        <w:rPr>
          <w:rFonts w:hint="eastAsia" w:eastAsia="方正小标宋简体" w:cs="Times New Roman"/>
          <w:spacing w:val="-8"/>
          <w:kern w:val="0"/>
          <w:sz w:val="44"/>
          <w:szCs w:val="44"/>
        </w:rPr>
        <w:t>印发</w:t>
      </w:r>
      <w:r>
        <w:rPr>
          <w:rFonts w:eastAsia="方正小标宋简体" w:cs="Times New Roman"/>
          <w:spacing w:val="-8"/>
          <w:kern w:val="0"/>
          <w:sz w:val="44"/>
          <w:szCs w:val="44"/>
        </w:rPr>
        <w:t>《</w:t>
      </w:r>
      <w:r>
        <w:rPr>
          <w:rFonts w:hint="eastAsia" w:eastAsia="方正小标宋简体" w:cs="Times New Roman"/>
          <w:kern w:val="0"/>
          <w:sz w:val="44"/>
          <w:szCs w:val="44"/>
        </w:rPr>
        <w:t>四川省建设用地土壤环境管理办法</w:t>
      </w:r>
      <w:r>
        <w:rPr>
          <w:rFonts w:eastAsia="方正小标宋简体" w:cs="Times New Roman"/>
          <w:sz w:val="44"/>
          <w:szCs w:val="44"/>
        </w:rPr>
        <w:t>》的</w:t>
      </w:r>
      <w:r>
        <w:rPr>
          <w:rFonts w:hint="eastAsia" w:eastAsia="方正小标宋简体" w:cs="Times New Roman"/>
          <w:sz w:val="44"/>
          <w:szCs w:val="44"/>
        </w:rPr>
        <w:t>通知</w:t>
      </w:r>
    </w:p>
    <w:p>
      <w:pPr>
        <w:overflowPunct w:val="0"/>
        <w:topLinePunct/>
        <w:adjustRightInd w:val="0"/>
        <w:snapToGrid w:val="0"/>
        <w:spacing w:line="600" w:lineRule="exact"/>
        <w:ind w:firstLine="880"/>
        <w:rPr>
          <w:rFonts w:eastAsia="方正小标宋简体" w:cs="Times New Roman"/>
          <w:sz w:val="44"/>
          <w:szCs w:val="44"/>
        </w:rPr>
      </w:pPr>
    </w:p>
    <w:p>
      <w:pPr>
        <w:overflowPunct w:val="0"/>
        <w:topLinePunct/>
        <w:adjustRightInd w:val="0"/>
        <w:snapToGrid w:val="0"/>
        <w:spacing w:line="600" w:lineRule="exact"/>
        <w:ind w:firstLine="0" w:firstLineChars="0"/>
        <w:rPr>
          <w:sz w:val="32"/>
          <w:szCs w:val="32"/>
        </w:rPr>
      </w:pPr>
      <w:r>
        <w:rPr>
          <w:rFonts w:hint="eastAsia"/>
          <w:sz w:val="32"/>
          <w:szCs w:val="32"/>
        </w:rPr>
        <w:t>各市（州）生态环境局、自然资源主管部门、住房城乡建设（城市管理）主管部门：</w:t>
      </w:r>
    </w:p>
    <w:p>
      <w:pPr>
        <w:overflowPunct w:val="0"/>
        <w:topLinePunct/>
        <w:adjustRightInd w:val="0"/>
        <w:snapToGrid w:val="0"/>
        <w:spacing w:line="600" w:lineRule="exact"/>
        <w:ind w:firstLine="640"/>
        <w:rPr>
          <w:sz w:val="32"/>
          <w:szCs w:val="32"/>
        </w:rPr>
      </w:pPr>
      <w:r>
        <w:rPr>
          <w:rFonts w:hint="eastAsia"/>
          <w:sz w:val="32"/>
          <w:szCs w:val="32"/>
        </w:rPr>
        <w:t>为贯彻落实《中华人民共和国土壤污染防治法》《四川省土壤污染防治条例》，加强全省建设用地土壤环境管理，保障人居环境安全，结合我省实际，修订《</w:t>
      </w:r>
      <w:r>
        <w:rPr>
          <w:rFonts w:cs="Times New Roman"/>
          <w:sz w:val="32"/>
          <w:szCs w:val="32"/>
        </w:rPr>
        <w:t>四川省污染地块土壤环境管理办法</w:t>
      </w:r>
      <w:r>
        <w:rPr>
          <w:rFonts w:hint="eastAsia"/>
          <w:sz w:val="32"/>
          <w:szCs w:val="32"/>
        </w:rPr>
        <w:t>》，形成《四川省建设用地土壤环境管理办法》，现印发给你们，请遵照执行。</w:t>
      </w:r>
    </w:p>
    <w:p>
      <w:pPr>
        <w:tabs>
          <w:tab w:val="left" w:pos="1418"/>
        </w:tabs>
        <w:overflowPunct w:val="0"/>
        <w:topLinePunct/>
        <w:adjustRightInd w:val="0"/>
        <w:snapToGrid w:val="0"/>
        <w:spacing w:line="600" w:lineRule="exact"/>
        <w:ind w:firstLine="640"/>
        <w:rPr>
          <w:rFonts w:cs="Times New Roman"/>
          <w:sz w:val="32"/>
          <w:szCs w:val="32"/>
        </w:rPr>
      </w:pPr>
    </w:p>
    <w:p>
      <w:pPr>
        <w:tabs>
          <w:tab w:val="left" w:pos="1418"/>
        </w:tabs>
        <w:overflowPunct w:val="0"/>
        <w:topLinePunct/>
        <w:adjustRightInd w:val="0"/>
        <w:snapToGrid w:val="0"/>
        <w:spacing w:line="600" w:lineRule="exact"/>
        <w:ind w:firstLine="640"/>
        <w:rPr>
          <w:rFonts w:cs="Times New Roman"/>
          <w:sz w:val="32"/>
          <w:szCs w:val="32"/>
        </w:rPr>
      </w:pPr>
    </w:p>
    <w:p>
      <w:pPr>
        <w:tabs>
          <w:tab w:val="left" w:pos="1418"/>
        </w:tabs>
        <w:overflowPunct w:val="0"/>
        <w:topLinePunct/>
        <w:adjustRightInd w:val="0"/>
        <w:snapToGrid w:val="0"/>
        <w:spacing w:line="600" w:lineRule="exact"/>
        <w:ind w:firstLine="0" w:firstLineChars="0"/>
        <w:jc w:val="right"/>
        <w:rPr>
          <w:rFonts w:cs="Times New Roman"/>
          <w:kern w:val="0"/>
          <w:sz w:val="32"/>
          <w:szCs w:val="32"/>
        </w:rPr>
      </w:pPr>
      <w:r>
        <w:rPr>
          <w:rFonts w:cs="Times New Roman"/>
          <w:kern w:val="0"/>
          <w:sz w:val="32"/>
          <w:szCs w:val="32"/>
        </w:rPr>
        <w:t>四川省</w:t>
      </w:r>
      <w:r>
        <w:rPr>
          <w:rFonts w:hint="eastAsia" w:cs="Times New Roman"/>
          <w:kern w:val="0"/>
          <w:sz w:val="32"/>
          <w:szCs w:val="32"/>
        </w:rPr>
        <w:t>生态</w:t>
      </w:r>
      <w:r>
        <w:rPr>
          <w:rFonts w:cs="Times New Roman"/>
          <w:kern w:val="0"/>
          <w:sz w:val="32"/>
          <w:szCs w:val="32"/>
        </w:rPr>
        <w:t>环境厅</w:t>
      </w:r>
      <w:r>
        <w:rPr>
          <w:rFonts w:hint="eastAsia" w:cs="Times New Roman"/>
          <w:kern w:val="0"/>
          <w:sz w:val="32"/>
          <w:szCs w:val="32"/>
        </w:rPr>
        <w:t xml:space="preserve"> </w:t>
      </w:r>
      <w:r>
        <w:rPr>
          <w:rFonts w:cs="Times New Roman"/>
          <w:kern w:val="0"/>
          <w:sz w:val="32"/>
          <w:szCs w:val="32"/>
        </w:rPr>
        <w:t xml:space="preserve">          </w:t>
      </w:r>
      <w:r>
        <w:rPr>
          <w:rFonts w:hint="eastAsia" w:cs="Times New Roman"/>
          <w:kern w:val="0"/>
          <w:sz w:val="32"/>
          <w:szCs w:val="32"/>
        </w:rPr>
        <w:t>四川省自然资源厅</w:t>
      </w:r>
    </w:p>
    <w:p>
      <w:pPr>
        <w:tabs>
          <w:tab w:val="left" w:pos="1418"/>
        </w:tabs>
        <w:overflowPunct w:val="0"/>
        <w:topLinePunct/>
        <w:adjustRightInd w:val="0"/>
        <w:snapToGrid w:val="0"/>
        <w:spacing w:line="600" w:lineRule="exact"/>
        <w:ind w:firstLine="0" w:firstLineChars="0"/>
        <w:jc w:val="right"/>
        <w:rPr>
          <w:rFonts w:cs="Times New Roman"/>
          <w:sz w:val="32"/>
          <w:szCs w:val="32"/>
        </w:rPr>
      </w:pPr>
      <w:r>
        <w:rPr>
          <w:rFonts w:hint="eastAsia" w:cs="Times New Roman"/>
          <w:kern w:val="0"/>
          <w:sz w:val="32"/>
          <w:szCs w:val="32"/>
        </w:rPr>
        <w:t>四川省住房和城乡建设厅</w:t>
      </w:r>
    </w:p>
    <w:p>
      <w:pPr>
        <w:tabs>
          <w:tab w:val="left" w:pos="2240"/>
        </w:tabs>
        <w:overflowPunct w:val="0"/>
        <w:topLinePunct/>
        <w:adjustRightInd w:val="0"/>
        <w:snapToGrid w:val="0"/>
        <w:spacing w:line="600" w:lineRule="exact"/>
        <w:ind w:firstLine="0" w:firstLineChars="0"/>
        <w:jc w:val="right"/>
        <w:rPr>
          <w:rFonts w:cs="Times New Roman"/>
          <w:kern w:val="0"/>
          <w:sz w:val="32"/>
          <w:szCs w:val="32"/>
        </w:rPr>
      </w:pPr>
      <w:r>
        <w:rPr>
          <w:rFonts w:cs="Times New Roman"/>
          <w:kern w:val="0"/>
          <w:sz w:val="32"/>
          <w:szCs w:val="32"/>
        </w:rPr>
        <w:t>20</w:t>
      </w:r>
      <w:r>
        <w:rPr>
          <w:rFonts w:hint="eastAsia" w:cs="Times New Roman"/>
          <w:kern w:val="0"/>
          <w:sz w:val="32"/>
          <w:szCs w:val="32"/>
        </w:rPr>
        <w:t>23</w:t>
      </w:r>
      <w:r>
        <w:rPr>
          <w:rFonts w:cs="Times New Roman"/>
          <w:kern w:val="0"/>
          <w:sz w:val="32"/>
          <w:szCs w:val="32"/>
        </w:rPr>
        <w:t>年</w:t>
      </w:r>
      <w:r>
        <w:rPr>
          <w:rFonts w:hint="eastAsia" w:cs="Times New Roman"/>
          <w:kern w:val="0"/>
          <w:sz w:val="32"/>
          <w:szCs w:val="32"/>
        </w:rPr>
        <w:t>12</w:t>
      </w:r>
      <w:r>
        <w:rPr>
          <w:rFonts w:cs="Times New Roman"/>
          <w:kern w:val="0"/>
          <w:sz w:val="32"/>
          <w:szCs w:val="32"/>
        </w:rPr>
        <w:t>月</w:t>
      </w:r>
      <w:r>
        <w:rPr>
          <w:rFonts w:hint="eastAsia" w:cs="Times New Roman"/>
          <w:kern w:val="0"/>
          <w:sz w:val="32"/>
          <w:szCs w:val="32"/>
        </w:rPr>
        <w:t>22日</w:t>
      </w:r>
    </w:p>
    <w:p>
      <w:pPr>
        <w:tabs>
          <w:tab w:val="left" w:pos="2240"/>
        </w:tabs>
        <w:overflowPunct w:val="0"/>
        <w:topLinePunct/>
        <w:adjustRightInd w:val="0"/>
        <w:snapToGrid w:val="0"/>
        <w:spacing w:line="600" w:lineRule="exact"/>
        <w:ind w:firstLine="4480" w:firstLineChars="1400"/>
        <w:rPr>
          <w:rFonts w:cs="Times New Roman"/>
          <w:kern w:val="0"/>
          <w:sz w:val="32"/>
          <w:szCs w:val="32"/>
        </w:rPr>
      </w:pPr>
    </w:p>
    <w:p>
      <w:pPr>
        <w:overflowPunct w:val="0"/>
        <w:topLinePunct/>
        <w:spacing w:line="600" w:lineRule="exact"/>
        <w:ind w:firstLine="0" w:firstLineChars="0"/>
        <w:jc w:val="left"/>
        <w:rPr>
          <w:rFonts w:eastAsia="方正小标宋简体" w:cs="Times New Roman"/>
          <w:kern w:val="0"/>
          <w:sz w:val="44"/>
          <w:szCs w:val="44"/>
        </w:rPr>
      </w:pPr>
      <w:r>
        <w:rPr>
          <w:rFonts w:eastAsia="方正小标宋简体" w:cs="Times New Roman"/>
          <w:kern w:val="0"/>
          <w:sz w:val="44"/>
          <w:szCs w:val="44"/>
        </w:rPr>
        <w:br w:type="page"/>
      </w:r>
    </w:p>
    <w:bookmarkEnd w:id="0"/>
    <w:p>
      <w:pPr>
        <w:pStyle w:val="14"/>
        <w:overflowPunct w:val="0"/>
        <w:topLinePunct/>
        <w:autoSpaceDE/>
        <w:autoSpaceDN/>
        <w:spacing w:line="600" w:lineRule="exact"/>
        <w:ind w:left="880" w:leftChars="0" w:hanging="880"/>
        <w:jc w:val="center"/>
        <w:rPr>
          <w:rFonts w:ascii="Times New Roman" w:hAnsi="Times New Roman" w:eastAsia="楷体_GB2312" w:cs="Times New Roman"/>
          <w:b/>
          <w:bCs/>
          <w:sz w:val="32"/>
          <w:szCs w:val="32"/>
          <w:lang w:eastAsia="zh-CN"/>
        </w:rPr>
      </w:pPr>
      <w:bookmarkStart w:id="1" w:name="_Toc439"/>
      <w:bookmarkStart w:id="2" w:name="_Toc61280237"/>
      <w:bookmarkStart w:id="3" w:name="_Toc10790"/>
      <w:bookmarkStart w:id="4" w:name="_Toc16216"/>
      <w:bookmarkStart w:id="5" w:name="_Toc7613"/>
      <w:r>
        <w:rPr>
          <w:rFonts w:hint="eastAsia" w:ascii="Times New Roman" w:hAnsi="Times New Roman" w:eastAsia="方正小标宋简体" w:cs="方正小标宋简体"/>
          <w:kern w:val="44"/>
          <w:sz w:val="44"/>
          <w:szCs w:val="44"/>
          <w:lang w:eastAsia="zh-CN" w:bidi="ar"/>
        </w:rPr>
        <w:t>四川省建设用地土壤环境管理办法</w:t>
      </w:r>
    </w:p>
    <w:p>
      <w:pPr>
        <w:suppressAutoHyphens/>
        <w:overflowPunct w:val="0"/>
        <w:topLinePunct/>
        <w:snapToGrid w:val="0"/>
        <w:spacing w:line="600" w:lineRule="exact"/>
        <w:ind w:firstLine="0" w:firstLineChars="0"/>
        <w:jc w:val="center"/>
        <w:rPr>
          <w:rFonts w:eastAsia="黑体" w:cs="Times New Roman"/>
          <w:sz w:val="32"/>
          <w:szCs w:val="32"/>
        </w:rPr>
      </w:pPr>
    </w:p>
    <w:p>
      <w:pPr>
        <w:suppressAutoHyphens/>
        <w:overflowPunct w:val="0"/>
        <w:topLinePunct/>
        <w:snapToGrid w:val="0"/>
        <w:spacing w:line="600" w:lineRule="exact"/>
        <w:ind w:firstLine="0" w:firstLineChars="0"/>
        <w:jc w:val="center"/>
        <w:rPr>
          <w:rFonts w:eastAsia="黑体" w:cs="Times New Roman"/>
          <w:sz w:val="32"/>
          <w:szCs w:val="32"/>
        </w:rPr>
      </w:pPr>
      <w:r>
        <w:rPr>
          <w:rFonts w:eastAsia="黑体" w:cs="Times New Roman"/>
          <w:sz w:val="32"/>
          <w:szCs w:val="32"/>
        </w:rPr>
        <w:t>目  录</w:t>
      </w:r>
    </w:p>
    <w:p>
      <w:pPr>
        <w:suppressAutoHyphens/>
        <w:overflowPunct w:val="0"/>
        <w:topLinePunct/>
        <w:snapToGrid w:val="0"/>
        <w:spacing w:line="600" w:lineRule="exact"/>
        <w:ind w:firstLine="0" w:firstLineChars="0"/>
        <w:rPr>
          <w:rFonts w:eastAsia="黑体" w:cs="Times New Roman"/>
          <w:sz w:val="32"/>
          <w:szCs w:val="32"/>
        </w:rPr>
      </w:pPr>
    </w:p>
    <w:p>
      <w:pPr>
        <w:suppressAutoHyphens/>
        <w:overflowPunct w:val="0"/>
        <w:topLinePunct/>
        <w:snapToGrid w:val="0"/>
        <w:spacing w:line="600" w:lineRule="exact"/>
        <w:ind w:firstLine="640"/>
        <w:rPr>
          <w:rFonts w:eastAsia="黑体" w:cs="Times New Roman"/>
          <w:sz w:val="32"/>
          <w:szCs w:val="32"/>
        </w:rPr>
      </w:pPr>
      <w:r>
        <w:rPr>
          <w:rFonts w:eastAsia="黑体" w:cs="Times New Roman"/>
          <w:sz w:val="32"/>
          <w:szCs w:val="32"/>
        </w:rPr>
        <w:t>第一章  总则</w:t>
      </w:r>
    </w:p>
    <w:p>
      <w:pPr>
        <w:suppressAutoHyphens/>
        <w:overflowPunct w:val="0"/>
        <w:topLinePunct/>
        <w:snapToGrid w:val="0"/>
        <w:spacing w:line="600" w:lineRule="exact"/>
        <w:ind w:firstLine="640"/>
        <w:rPr>
          <w:rFonts w:eastAsia="黑体" w:cs="Times New Roman"/>
          <w:sz w:val="32"/>
          <w:szCs w:val="32"/>
        </w:rPr>
      </w:pPr>
      <w:r>
        <w:rPr>
          <w:rFonts w:eastAsia="黑体" w:cs="Times New Roman"/>
          <w:sz w:val="32"/>
          <w:szCs w:val="32"/>
        </w:rPr>
        <w:t>第二章  各方责任</w:t>
      </w:r>
    </w:p>
    <w:p>
      <w:pPr>
        <w:suppressAutoHyphens/>
        <w:overflowPunct w:val="0"/>
        <w:topLinePunct/>
        <w:snapToGrid w:val="0"/>
        <w:spacing w:line="600" w:lineRule="exact"/>
        <w:ind w:firstLine="640"/>
        <w:rPr>
          <w:rFonts w:eastAsia="黑体" w:cs="Times New Roman"/>
          <w:sz w:val="32"/>
          <w:szCs w:val="32"/>
        </w:rPr>
      </w:pPr>
      <w:r>
        <w:rPr>
          <w:rFonts w:eastAsia="黑体" w:cs="Times New Roman"/>
          <w:sz w:val="32"/>
          <w:szCs w:val="32"/>
        </w:rPr>
        <w:t>第三章  调查评估</w:t>
      </w:r>
    </w:p>
    <w:p>
      <w:pPr>
        <w:suppressAutoHyphens/>
        <w:overflowPunct w:val="0"/>
        <w:topLinePunct/>
        <w:snapToGrid w:val="0"/>
        <w:spacing w:line="600" w:lineRule="exact"/>
        <w:ind w:firstLine="640"/>
        <w:rPr>
          <w:rFonts w:eastAsia="黑体" w:cs="Times New Roman"/>
          <w:sz w:val="32"/>
          <w:szCs w:val="32"/>
        </w:rPr>
      </w:pPr>
      <w:r>
        <w:rPr>
          <w:rFonts w:eastAsia="黑体" w:cs="Times New Roman"/>
          <w:sz w:val="32"/>
          <w:szCs w:val="32"/>
        </w:rPr>
        <w:t>第四章  风险管控和修复</w:t>
      </w:r>
    </w:p>
    <w:p>
      <w:pPr>
        <w:suppressAutoHyphens/>
        <w:overflowPunct w:val="0"/>
        <w:topLinePunct/>
        <w:snapToGrid w:val="0"/>
        <w:spacing w:line="600" w:lineRule="exact"/>
        <w:ind w:firstLine="640"/>
        <w:rPr>
          <w:rFonts w:eastAsia="黑体" w:cs="Times New Roman"/>
          <w:sz w:val="32"/>
          <w:szCs w:val="32"/>
        </w:rPr>
      </w:pPr>
      <w:r>
        <w:rPr>
          <w:rFonts w:eastAsia="黑体" w:cs="Times New Roman"/>
          <w:sz w:val="32"/>
          <w:szCs w:val="32"/>
        </w:rPr>
        <w:t>第五章  监督管理</w:t>
      </w:r>
    </w:p>
    <w:p>
      <w:pPr>
        <w:suppressAutoHyphens/>
        <w:overflowPunct w:val="0"/>
        <w:topLinePunct/>
        <w:snapToGrid w:val="0"/>
        <w:spacing w:line="600" w:lineRule="exact"/>
        <w:ind w:firstLine="640"/>
        <w:rPr>
          <w:rFonts w:eastAsia="黑体" w:cs="Times New Roman"/>
          <w:sz w:val="32"/>
          <w:szCs w:val="32"/>
        </w:rPr>
      </w:pPr>
      <w:r>
        <w:rPr>
          <w:rFonts w:eastAsia="黑体" w:cs="Times New Roman"/>
          <w:sz w:val="32"/>
          <w:szCs w:val="32"/>
        </w:rPr>
        <w:t>第六章  附则</w:t>
      </w:r>
    </w:p>
    <w:p>
      <w:pPr>
        <w:suppressAutoHyphens/>
        <w:overflowPunct w:val="0"/>
        <w:topLinePunct/>
        <w:snapToGrid w:val="0"/>
        <w:spacing w:line="600" w:lineRule="exact"/>
        <w:ind w:firstLine="0" w:firstLineChars="0"/>
        <w:rPr>
          <w:rFonts w:cs="Times New Roman"/>
          <w:sz w:val="32"/>
          <w:szCs w:val="32"/>
        </w:rPr>
      </w:pPr>
    </w:p>
    <w:p>
      <w:pPr>
        <w:suppressAutoHyphens/>
        <w:overflowPunct w:val="0"/>
        <w:topLinePunct/>
        <w:adjustRightInd w:val="0"/>
        <w:snapToGrid w:val="0"/>
        <w:spacing w:line="600" w:lineRule="exact"/>
        <w:ind w:firstLine="0" w:firstLineChars="0"/>
        <w:jc w:val="center"/>
        <w:outlineLvl w:val="0"/>
        <w:rPr>
          <w:rFonts w:eastAsia="黑体" w:cs="Times New Roman"/>
          <w:bCs/>
          <w:kern w:val="44"/>
          <w:sz w:val="32"/>
          <w:szCs w:val="32"/>
        </w:rPr>
      </w:pPr>
      <w:r>
        <w:rPr>
          <w:rFonts w:eastAsia="黑体" w:cs="Times New Roman"/>
          <w:bCs/>
          <w:kern w:val="44"/>
          <w:sz w:val="32"/>
          <w:szCs w:val="32"/>
        </w:rPr>
        <w:t>第一章  总则</w:t>
      </w:r>
    </w:p>
    <w:p>
      <w:pPr>
        <w:suppressAutoHyphens/>
        <w:overflowPunct w:val="0"/>
        <w:topLinePunct/>
        <w:snapToGrid w:val="0"/>
        <w:spacing w:line="600" w:lineRule="exact"/>
        <w:ind w:firstLine="643"/>
        <w:rPr>
          <w:rFonts w:cs="Times New Roman"/>
          <w:sz w:val="32"/>
          <w:szCs w:val="32"/>
        </w:rPr>
      </w:pPr>
      <w:r>
        <w:rPr>
          <w:rFonts w:hint="eastAsia" w:cs="Times New Roman"/>
          <w:b/>
          <w:bCs/>
          <w:sz w:val="32"/>
          <w:szCs w:val="32"/>
        </w:rPr>
        <w:t>第一条</w:t>
      </w:r>
      <w:r>
        <w:rPr>
          <w:rFonts w:hint="eastAsia" w:cs="Times New Roman"/>
          <w:sz w:val="32"/>
          <w:szCs w:val="32"/>
        </w:rPr>
        <w:t>　为加强全省建设用地土壤生态环境监督管理，防控建设用地土壤环境风险，保障人居环境安全，根据《中华人民共和国土壤污染防治法》《四川省土壤污染防治条例》《建设用地土壤污染状况调查、风险评估、风险管控及修复效果评估报告评审指南》等有关要求，结合四川省实际，制定本办法。</w:t>
      </w:r>
    </w:p>
    <w:p>
      <w:pPr>
        <w:suppressAutoHyphens/>
        <w:overflowPunct w:val="0"/>
        <w:topLinePunct/>
        <w:snapToGrid w:val="0"/>
        <w:spacing w:line="600" w:lineRule="exact"/>
        <w:ind w:firstLine="643"/>
        <w:rPr>
          <w:rFonts w:cs="Times New Roman"/>
          <w:sz w:val="32"/>
          <w:szCs w:val="32"/>
        </w:rPr>
      </w:pPr>
      <w:r>
        <w:rPr>
          <w:rFonts w:hint="eastAsia" w:cs="Times New Roman"/>
          <w:b/>
          <w:bCs/>
          <w:sz w:val="32"/>
          <w:szCs w:val="32"/>
        </w:rPr>
        <w:t>第二条　</w:t>
      </w:r>
      <w:r>
        <w:rPr>
          <w:rFonts w:hint="eastAsia" w:cs="Times New Roman"/>
          <w:sz w:val="32"/>
          <w:szCs w:val="32"/>
        </w:rPr>
        <w:t>本办法适用于四川省行政区域内以下六类建设用地：</w:t>
      </w:r>
    </w:p>
    <w:p>
      <w:pPr>
        <w:suppressAutoHyphens/>
        <w:overflowPunct w:val="0"/>
        <w:topLinePunct/>
        <w:snapToGrid w:val="0"/>
        <w:spacing w:line="600" w:lineRule="exact"/>
        <w:ind w:firstLine="640"/>
        <w:rPr>
          <w:rFonts w:cs="Times New Roman"/>
          <w:sz w:val="32"/>
          <w:szCs w:val="32"/>
        </w:rPr>
      </w:pPr>
      <w:r>
        <w:rPr>
          <w:rFonts w:hint="eastAsia" w:cs="Times New Roman"/>
          <w:sz w:val="32"/>
          <w:szCs w:val="32"/>
        </w:rPr>
        <w:t>（一）有色和黑色金属矿采选、有色和黑色金属冶炼、石油和天然气开采、石油加工、化学原料和化学制品制造、汽车制造以及铅蓄电池、焦化、电镀、制革、</w:t>
      </w:r>
      <w:r>
        <w:rPr>
          <w:rFonts w:hint="eastAsia" w:cs="Times New Roman"/>
          <w:sz w:val="32"/>
          <w:szCs w:val="24"/>
        </w:rPr>
        <w:t>废弃电器电子产品处理</w:t>
      </w:r>
      <w:r>
        <w:rPr>
          <w:rFonts w:hint="eastAsia" w:cs="Times New Roman"/>
          <w:sz w:val="32"/>
          <w:szCs w:val="32"/>
        </w:rPr>
        <w:t>、垃圾焚烧等行业企业关闭、搬迁的；</w:t>
      </w:r>
    </w:p>
    <w:p>
      <w:pPr>
        <w:suppressAutoHyphens/>
        <w:overflowPunct w:val="0"/>
        <w:topLinePunct/>
        <w:snapToGrid w:val="0"/>
        <w:spacing w:line="600" w:lineRule="exact"/>
        <w:ind w:firstLine="640"/>
        <w:rPr>
          <w:rFonts w:cs="Times New Roman"/>
          <w:sz w:val="32"/>
          <w:szCs w:val="32"/>
        </w:rPr>
      </w:pPr>
      <w:r>
        <w:rPr>
          <w:rFonts w:hint="eastAsia" w:cs="Times New Roman"/>
          <w:sz w:val="32"/>
          <w:szCs w:val="32"/>
        </w:rPr>
        <w:t>（二）垃圾填埋场、污泥处置场和从事过危险废物贮存、利用、处置经营活动的场所关闭或者封场的；</w:t>
      </w:r>
    </w:p>
    <w:p>
      <w:pPr>
        <w:suppressAutoHyphens/>
        <w:overflowPunct w:val="0"/>
        <w:topLinePunct/>
        <w:snapToGrid w:val="0"/>
        <w:spacing w:line="600" w:lineRule="exact"/>
        <w:ind w:firstLine="640"/>
        <w:rPr>
          <w:rFonts w:cs="Times New Roman"/>
          <w:sz w:val="32"/>
          <w:szCs w:val="32"/>
        </w:rPr>
      </w:pPr>
      <w:r>
        <w:rPr>
          <w:rFonts w:hint="eastAsia" w:cs="Times New Roman"/>
          <w:sz w:val="32"/>
          <w:szCs w:val="32"/>
        </w:rPr>
        <w:t>（三）土壤污染重点监管单位的生产经营用地用途拟变更或者土地使用权拟收回、转让的；</w:t>
      </w:r>
    </w:p>
    <w:p>
      <w:pPr>
        <w:suppressAutoHyphens/>
        <w:overflowPunct w:val="0"/>
        <w:topLinePunct/>
        <w:snapToGrid w:val="0"/>
        <w:spacing w:line="600" w:lineRule="exact"/>
        <w:ind w:firstLine="640"/>
        <w:rPr>
          <w:rFonts w:cs="Times New Roman"/>
          <w:sz w:val="32"/>
          <w:szCs w:val="32"/>
        </w:rPr>
      </w:pPr>
      <w:r>
        <w:rPr>
          <w:rFonts w:hint="eastAsia" w:cs="Times New Roman"/>
          <w:sz w:val="32"/>
          <w:szCs w:val="32"/>
        </w:rPr>
        <w:t>（四）用途变更为住宅、公共管理与公共服务用地的（以下简称一住两公，一住两公的确定以国家国土用途管制分类要求为准）；</w:t>
      </w:r>
    </w:p>
    <w:p>
      <w:pPr>
        <w:suppressAutoHyphens/>
        <w:overflowPunct w:val="0"/>
        <w:topLinePunct/>
        <w:snapToGrid w:val="0"/>
        <w:spacing w:line="600" w:lineRule="exact"/>
        <w:ind w:firstLine="640"/>
        <w:rPr>
          <w:rFonts w:cs="Times New Roman"/>
          <w:sz w:val="32"/>
          <w:szCs w:val="32"/>
        </w:rPr>
      </w:pPr>
      <w:r>
        <w:rPr>
          <w:rFonts w:hint="eastAsia" w:cs="Times New Roman"/>
          <w:sz w:val="32"/>
          <w:szCs w:val="32"/>
        </w:rPr>
        <w:t>（五）对土壤污染状况普查、详查和监测、现场检查表明有土壤污染风险的；</w:t>
      </w:r>
    </w:p>
    <w:p>
      <w:pPr>
        <w:suppressAutoHyphens/>
        <w:overflowPunct w:val="0"/>
        <w:topLinePunct/>
        <w:snapToGrid w:val="0"/>
        <w:spacing w:line="600" w:lineRule="exact"/>
        <w:ind w:firstLine="640"/>
        <w:rPr>
          <w:rFonts w:cs="Times New Roman"/>
          <w:sz w:val="32"/>
          <w:szCs w:val="32"/>
        </w:rPr>
      </w:pPr>
      <w:r>
        <w:rPr>
          <w:rFonts w:hint="eastAsia" w:cs="Times New Roman"/>
          <w:sz w:val="32"/>
          <w:szCs w:val="32"/>
        </w:rPr>
        <w:t>（六）法律、法规规定的其他情形。</w:t>
      </w:r>
    </w:p>
    <w:p>
      <w:pPr>
        <w:suppressAutoHyphens/>
        <w:overflowPunct w:val="0"/>
        <w:topLinePunct/>
        <w:snapToGrid w:val="0"/>
        <w:spacing w:line="600" w:lineRule="exact"/>
        <w:ind w:firstLine="640"/>
        <w:rPr>
          <w:rFonts w:cs="Times New Roman"/>
          <w:sz w:val="32"/>
          <w:szCs w:val="32"/>
        </w:rPr>
      </w:pPr>
      <w:r>
        <w:rPr>
          <w:rFonts w:hint="eastAsia" w:cs="Times New Roman"/>
          <w:sz w:val="32"/>
          <w:szCs w:val="32"/>
        </w:rPr>
        <w:t>放射性建设用地、在产企业用地土壤生态环境监督管理，不适用于本办法。</w:t>
      </w:r>
    </w:p>
    <w:p>
      <w:pPr>
        <w:suppressAutoHyphens/>
        <w:overflowPunct w:val="0"/>
        <w:topLinePunct/>
        <w:snapToGrid w:val="0"/>
        <w:spacing w:line="600" w:lineRule="exact"/>
        <w:ind w:firstLine="643"/>
        <w:rPr>
          <w:rFonts w:cs="Times New Roman"/>
          <w:sz w:val="32"/>
          <w:szCs w:val="32"/>
        </w:rPr>
      </w:pPr>
      <w:r>
        <w:rPr>
          <w:rFonts w:hint="eastAsia" w:cs="Times New Roman"/>
          <w:b/>
          <w:bCs/>
          <w:sz w:val="32"/>
          <w:szCs w:val="32"/>
        </w:rPr>
        <w:t>第三条　</w:t>
      </w:r>
      <w:r>
        <w:rPr>
          <w:rFonts w:hint="eastAsia" w:cs="Times New Roman"/>
          <w:sz w:val="32"/>
          <w:szCs w:val="32"/>
        </w:rPr>
        <w:t>上述六类建设用地应按国家和省规定开展土壤污染状况调查、风险评估、风险管控、修复、风险管控效果评估、修复效果评估、后期管理等土壤生态环境管理相关工作（以下简称土壤污染风险管控和修复工作）。</w:t>
      </w:r>
    </w:p>
    <w:p>
      <w:pPr>
        <w:suppressAutoHyphens/>
        <w:overflowPunct w:val="0"/>
        <w:topLinePunct/>
        <w:snapToGrid w:val="0"/>
        <w:spacing w:line="600" w:lineRule="exact"/>
        <w:ind w:firstLine="643"/>
        <w:rPr>
          <w:rFonts w:cs="Times New Roman"/>
          <w:sz w:val="32"/>
          <w:szCs w:val="32"/>
        </w:rPr>
      </w:pPr>
      <w:r>
        <w:rPr>
          <w:rFonts w:hint="eastAsia" w:cs="Times New Roman"/>
          <w:b/>
          <w:bCs/>
          <w:sz w:val="32"/>
          <w:szCs w:val="32"/>
        </w:rPr>
        <w:t>第四条</w:t>
      </w:r>
      <w:r>
        <w:rPr>
          <w:rFonts w:hint="eastAsia" w:cs="Times New Roman"/>
          <w:sz w:val="32"/>
          <w:szCs w:val="32"/>
        </w:rPr>
        <w:t>　任何单位或者个人有权向生态环境主管部门举报未按照本办法规定开展土壤污染风险管控和修复工作的行为。</w:t>
      </w:r>
    </w:p>
    <w:p>
      <w:pPr>
        <w:suppressAutoHyphens/>
        <w:overflowPunct w:val="0"/>
        <w:topLinePunct/>
        <w:snapToGrid w:val="0"/>
        <w:spacing w:line="600" w:lineRule="exact"/>
        <w:ind w:firstLine="640"/>
        <w:rPr>
          <w:rFonts w:cs="Times New Roman"/>
          <w:sz w:val="32"/>
          <w:szCs w:val="32"/>
        </w:rPr>
      </w:pPr>
      <w:r>
        <w:rPr>
          <w:rFonts w:hint="eastAsia" w:cs="Times New Roman"/>
          <w:sz w:val="32"/>
          <w:szCs w:val="32"/>
        </w:rPr>
        <w:t>生态环境主管部门鼓励和支持社会组织，对造成土壤污染、损害公众利益的行为，依法提起环境公益诉讼。</w:t>
      </w:r>
    </w:p>
    <w:p>
      <w:pPr>
        <w:suppressAutoHyphens/>
        <w:overflowPunct w:val="0"/>
        <w:topLinePunct/>
        <w:adjustRightInd w:val="0"/>
        <w:snapToGrid w:val="0"/>
        <w:spacing w:line="600" w:lineRule="exact"/>
        <w:ind w:firstLine="0" w:firstLineChars="0"/>
        <w:jc w:val="center"/>
        <w:outlineLvl w:val="0"/>
        <w:rPr>
          <w:rFonts w:eastAsia="黑体" w:cs="Times New Roman"/>
          <w:bCs/>
          <w:kern w:val="44"/>
          <w:sz w:val="32"/>
          <w:szCs w:val="32"/>
        </w:rPr>
      </w:pPr>
    </w:p>
    <w:p>
      <w:pPr>
        <w:suppressAutoHyphens/>
        <w:overflowPunct w:val="0"/>
        <w:topLinePunct/>
        <w:adjustRightInd w:val="0"/>
        <w:snapToGrid w:val="0"/>
        <w:spacing w:line="600" w:lineRule="exact"/>
        <w:ind w:firstLine="0" w:firstLineChars="0"/>
        <w:jc w:val="center"/>
        <w:outlineLvl w:val="0"/>
        <w:rPr>
          <w:rFonts w:eastAsia="黑体" w:cs="Times New Roman"/>
          <w:bCs/>
          <w:kern w:val="44"/>
          <w:sz w:val="32"/>
          <w:szCs w:val="32"/>
        </w:rPr>
      </w:pPr>
      <w:r>
        <w:rPr>
          <w:rFonts w:eastAsia="黑体" w:cs="Times New Roman"/>
          <w:bCs/>
          <w:kern w:val="44"/>
          <w:sz w:val="32"/>
          <w:szCs w:val="32"/>
        </w:rPr>
        <w:t>第二章  各方责任</w:t>
      </w:r>
    </w:p>
    <w:p>
      <w:pPr>
        <w:suppressAutoHyphens/>
        <w:overflowPunct w:val="0"/>
        <w:topLinePunct/>
        <w:snapToGrid w:val="0"/>
        <w:spacing w:line="600" w:lineRule="exact"/>
        <w:ind w:firstLine="643"/>
        <w:rPr>
          <w:rFonts w:cs="Times New Roman"/>
          <w:sz w:val="32"/>
          <w:szCs w:val="32"/>
        </w:rPr>
      </w:pPr>
      <w:r>
        <w:rPr>
          <w:rFonts w:cs="Times New Roman"/>
          <w:b/>
          <w:bCs/>
          <w:sz w:val="32"/>
          <w:szCs w:val="32"/>
        </w:rPr>
        <w:t>第</w:t>
      </w:r>
      <w:r>
        <w:rPr>
          <w:rFonts w:hint="eastAsia" w:cs="Times New Roman"/>
          <w:b/>
          <w:bCs/>
          <w:sz w:val="32"/>
          <w:szCs w:val="32"/>
        </w:rPr>
        <w:t>五</w:t>
      </w:r>
      <w:r>
        <w:rPr>
          <w:rFonts w:cs="Times New Roman"/>
          <w:b/>
          <w:bCs/>
          <w:sz w:val="32"/>
          <w:szCs w:val="32"/>
        </w:rPr>
        <w:t>条</w:t>
      </w:r>
      <w:r>
        <w:rPr>
          <w:rFonts w:hint="eastAsia" w:cs="Times New Roman"/>
          <w:sz w:val="32"/>
          <w:szCs w:val="32"/>
        </w:rPr>
        <w:t>　</w:t>
      </w:r>
      <w:r>
        <w:rPr>
          <w:rFonts w:cs="Times New Roman"/>
          <w:sz w:val="32"/>
          <w:szCs w:val="32"/>
        </w:rPr>
        <w:t>有关部门依照下列规定，对土壤污染风险管控和修复工作实施监督管理：</w:t>
      </w:r>
    </w:p>
    <w:p>
      <w:pPr>
        <w:suppressAutoHyphens/>
        <w:overflowPunct w:val="0"/>
        <w:topLinePunct/>
        <w:snapToGrid w:val="0"/>
        <w:spacing w:line="600" w:lineRule="exact"/>
        <w:ind w:firstLine="640"/>
        <w:rPr>
          <w:rFonts w:cs="Times New Roman"/>
          <w:sz w:val="32"/>
          <w:szCs w:val="32"/>
        </w:rPr>
      </w:pPr>
      <w:r>
        <w:rPr>
          <w:rFonts w:cs="Times New Roman"/>
          <w:sz w:val="32"/>
          <w:szCs w:val="32"/>
        </w:rPr>
        <w:t>（一）生态环境主管部门对土壤污染风险管控和修复工作实施统一监督管理。省级生态环境主管部门会同自然资源主管部门建立建设用地土壤污染风险管控和修复名录。市级生态环境主管部门会同自然资源等主管部门建立第二条第（一）（二）（三）（五）（六）类地块清单和污染地块名录。名录和清单应动态更新。</w:t>
      </w:r>
    </w:p>
    <w:p>
      <w:pPr>
        <w:suppressAutoHyphens/>
        <w:overflowPunct w:val="0"/>
        <w:topLinePunct/>
        <w:snapToGrid w:val="0"/>
        <w:spacing w:line="600" w:lineRule="exact"/>
        <w:ind w:firstLine="640"/>
        <w:rPr>
          <w:rFonts w:cs="Times New Roman"/>
          <w:sz w:val="32"/>
          <w:szCs w:val="32"/>
        </w:rPr>
      </w:pPr>
      <w:r>
        <w:rPr>
          <w:rFonts w:cs="Times New Roman"/>
          <w:sz w:val="32"/>
          <w:szCs w:val="32"/>
        </w:rPr>
        <w:t>（二）自然资源主管部门负责建设用地规划用途、规划</w:t>
      </w:r>
      <w:r>
        <w:rPr>
          <w:rFonts w:hint="eastAsia" w:cs="Times New Roman"/>
          <w:sz w:val="32"/>
          <w:szCs w:val="32"/>
        </w:rPr>
        <w:t>实施</w:t>
      </w:r>
      <w:r>
        <w:rPr>
          <w:rFonts w:cs="Times New Roman"/>
          <w:sz w:val="32"/>
          <w:szCs w:val="32"/>
        </w:rPr>
        <w:t>、使用权的收储收回和供应的监督管理，负责建立第二条第（四）类地块清单并动态更新；配合生态环境主管部门建立本行政区域内第二条第（一）（二）（三）（五）（六）类地块清单、污染地块名录和建设用地土壤污染风险管控和修复名录。</w:t>
      </w:r>
    </w:p>
    <w:p>
      <w:pPr>
        <w:suppressAutoHyphens/>
        <w:overflowPunct w:val="0"/>
        <w:topLinePunct/>
        <w:snapToGrid w:val="0"/>
        <w:spacing w:line="600" w:lineRule="exact"/>
        <w:ind w:firstLine="640"/>
        <w:rPr>
          <w:rFonts w:cs="Times New Roman"/>
          <w:sz w:val="32"/>
          <w:szCs w:val="32"/>
        </w:rPr>
      </w:pPr>
      <w:r>
        <w:rPr>
          <w:rFonts w:cs="Times New Roman"/>
          <w:sz w:val="32"/>
          <w:szCs w:val="32"/>
        </w:rPr>
        <w:t>（三）发展改革、经济和信息化、住房城乡建设、商务、卫生健康等主管部门，在各自职责范围内对土壤污染风险管控和修复工作实施监督管理。</w:t>
      </w:r>
    </w:p>
    <w:p>
      <w:pPr>
        <w:suppressAutoHyphens/>
        <w:overflowPunct w:val="0"/>
        <w:topLinePunct/>
        <w:snapToGrid w:val="0"/>
        <w:spacing w:line="600" w:lineRule="exact"/>
        <w:ind w:firstLine="643"/>
        <w:rPr>
          <w:rFonts w:cs="Times New Roman"/>
          <w:sz w:val="32"/>
          <w:szCs w:val="32"/>
        </w:rPr>
      </w:pPr>
      <w:r>
        <w:rPr>
          <w:rFonts w:cs="Times New Roman"/>
          <w:b/>
          <w:bCs/>
          <w:sz w:val="32"/>
          <w:szCs w:val="32"/>
        </w:rPr>
        <w:t>第</w:t>
      </w:r>
      <w:r>
        <w:rPr>
          <w:rFonts w:hint="eastAsia" w:cs="Times New Roman"/>
          <w:b/>
          <w:bCs/>
          <w:sz w:val="32"/>
          <w:szCs w:val="32"/>
        </w:rPr>
        <w:t>六</w:t>
      </w:r>
      <w:r>
        <w:rPr>
          <w:rFonts w:cs="Times New Roman"/>
          <w:b/>
          <w:bCs/>
          <w:sz w:val="32"/>
          <w:szCs w:val="32"/>
        </w:rPr>
        <w:t>条</w:t>
      </w:r>
      <w:r>
        <w:rPr>
          <w:rFonts w:hint="eastAsia" w:cs="Times New Roman"/>
          <w:sz w:val="32"/>
          <w:szCs w:val="32"/>
        </w:rPr>
        <w:t>　</w:t>
      </w:r>
      <w:r>
        <w:rPr>
          <w:rFonts w:cs="Times New Roman"/>
          <w:sz w:val="32"/>
          <w:szCs w:val="32"/>
        </w:rPr>
        <w:t>土壤污染责任人、土地使用权人应当按照本办法规定，负责开展土壤污染风险管控和修复工作，并对其结果负责。通过建设用地信息管理系统提交相关工作信息。</w:t>
      </w:r>
    </w:p>
    <w:p>
      <w:pPr>
        <w:suppressAutoHyphens/>
        <w:overflowPunct w:val="0"/>
        <w:topLinePunct/>
        <w:snapToGrid w:val="0"/>
        <w:spacing w:line="600" w:lineRule="exact"/>
        <w:ind w:firstLine="643"/>
        <w:rPr>
          <w:rFonts w:cs="Times New Roman"/>
          <w:sz w:val="32"/>
          <w:szCs w:val="32"/>
        </w:rPr>
      </w:pPr>
      <w:r>
        <w:rPr>
          <w:rFonts w:cs="Times New Roman"/>
          <w:b/>
          <w:bCs/>
          <w:sz w:val="32"/>
          <w:szCs w:val="32"/>
        </w:rPr>
        <w:t>第</w:t>
      </w:r>
      <w:r>
        <w:rPr>
          <w:rFonts w:hint="eastAsia" w:cs="Times New Roman"/>
          <w:b/>
          <w:bCs/>
          <w:sz w:val="32"/>
          <w:szCs w:val="32"/>
        </w:rPr>
        <w:t>七</w:t>
      </w:r>
      <w:r>
        <w:rPr>
          <w:rFonts w:cs="Times New Roman"/>
          <w:b/>
          <w:bCs/>
          <w:sz w:val="32"/>
          <w:szCs w:val="32"/>
        </w:rPr>
        <w:t>条</w:t>
      </w:r>
      <w:r>
        <w:rPr>
          <w:rFonts w:hint="eastAsia" w:cs="Times New Roman"/>
          <w:sz w:val="32"/>
          <w:szCs w:val="32"/>
        </w:rPr>
        <w:t>　</w:t>
      </w:r>
      <w:r>
        <w:rPr>
          <w:rFonts w:cs="Times New Roman"/>
          <w:sz w:val="32"/>
          <w:szCs w:val="32"/>
        </w:rPr>
        <w:t>按照“谁污染、谁治理”的原则，造成土壤污染的单位和个人应当承担土壤污染防治的主体责任。</w:t>
      </w:r>
    </w:p>
    <w:p>
      <w:pPr>
        <w:suppressAutoHyphens/>
        <w:overflowPunct w:val="0"/>
        <w:topLinePunct/>
        <w:snapToGrid w:val="0"/>
        <w:spacing w:line="600" w:lineRule="exact"/>
        <w:ind w:firstLine="640"/>
        <w:rPr>
          <w:rFonts w:cs="Times New Roman"/>
          <w:sz w:val="32"/>
          <w:szCs w:val="32"/>
        </w:rPr>
      </w:pPr>
      <w:r>
        <w:rPr>
          <w:rFonts w:cs="Times New Roman"/>
          <w:sz w:val="32"/>
          <w:szCs w:val="32"/>
        </w:rPr>
        <w:t>土地使用权依法转让的，由土地使用权受让方或者双方约定的责任人承担相关责任。</w:t>
      </w:r>
    </w:p>
    <w:p>
      <w:pPr>
        <w:suppressAutoHyphens/>
        <w:overflowPunct w:val="0"/>
        <w:topLinePunct/>
        <w:snapToGrid w:val="0"/>
        <w:spacing w:line="600" w:lineRule="exact"/>
        <w:ind w:firstLine="640"/>
        <w:rPr>
          <w:rFonts w:cs="Times New Roman"/>
          <w:sz w:val="32"/>
          <w:szCs w:val="32"/>
        </w:rPr>
      </w:pPr>
      <w:r>
        <w:rPr>
          <w:rFonts w:cs="Times New Roman"/>
          <w:sz w:val="32"/>
          <w:szCs w:val="32"/>
        </w:rPr>
        <w:t>土地使用权终止的，由原土地使用权人对其使用期间所造成的土壤污染承担相关责任。</w:t>
      </w:r>
    </w:p>
    <w:p>
      <w:pPr>
        <w:suppressAutoHyphens/>
        <w:overflowPunct w:val="0"/>
        <w:topLinePunct/>
        <w:snapToGrid w:val="0"/>
        <w:spacing w:line="600" w:lineRule="exact"/>
        <w:ind w:firstLine="643"/>
        <w:rPr>
          <w:rFonts w:cs="Times New Roman"/>
          <w:sz w:val="32"/>
          <w:szCs w:val="32"/>
        </w:rPr>
      </w:pPr>
      <w:r>
        <w:rPr>
          <w:rFonts w:cs="Times New Roman"/>
          <w:b/>
          <w:bCs/>
          <w:sz w:val="32"/>
          <w:szCs w:val="32"/>
        </w:rPr>
        <w:t>第</w:t>
      </w:r>
      <w:r>
        <w:rPr>
          <w:rFonts w:hint="eastAsia" w:cs="Times New Roman"/>
          <w:b/>
          <w:bCs/>
          <w:sz w:val="32"/>
          <w:szCs w:val="32"/>
        </w:rPr>
        <w:t>八</w:t>
      </w:r>
      <w:r>
        <w:rPr>
          <w:rFonts w:cs="Times New Roman"/>
          <w:b/>
          <w:bCs/>
          <w:sz w:val="32"/>
          <w:szCs w:val="32"/>
        </w:rPr>
        <w:t>条</w:t>
      </w:r>
      <w:r>
        <w:rPr>
          <w:rFonts w:hint="eastAsia" w:cs="Times New Roman"/>
          <w:sz w:val="32"/>
          <w:szCs w:val="32"/>
        </w:rPr>
        <w:t>　</w:t>
      </w:r>
      <w:r>
        <w:rPr>
          <w:rFonts w:cs="Times New Roman"/>
          <w:sz w:val="32"/>
          <w:szCs w:val="32"/>
        </w:rPr>
        <w:t>土壤污染责任人不明确或者存在争议的，应当按照《建设用地土壤污染责任人认定暂行办法》要求开展责任人认定。土壤污染责任人无法认定的，土地使用权人应当承担相关责任。</w:t>
      </w:r>
    </w:p>
    <w:p>
      <w:pPr>
        <w:suppressAutoHyphens/>
        <w:overflowPunct w:val="0"/>
        <w:topLinePunct/>
        <w:snapToGrid w:val="0"/>
        <w:spacing w:line="600" w:lineRule="exact"/>
        <w:ind w:firstLine="643"/>
        <w:rPr>
          <w:rFonts w:cs="Times New Roman"/>
          <w:sz w:val="32"/>
          <w:szCs w:val="32"/>
        </w:rPr>
      </w:pPr>
      <w:r>
        <w:rPr>
          <w:rFonts w:cs="Times New Roman"/>
          <w:b/>
          <w:bCs/>
          <w:sz w:val="32"/>
          <w:szCs w:val="32"/>
        </w:rPr>
        <w:t>第</w:t>
      </w:r>
      <w:r>
        <w:rPr>
          <w:rFonts w:hint="eastAsia" w:cs="Times New Roman"/>
          <w:b/>
          <w:bCs/>
          <w:sz w:val="32"/>
          <w:szCs w:val="32"/>
        </w:rPr>
        <w:t>九</w:t>
      </w:r>
      <w:r>
        <w:rPr>
          <w:rFonts w:cs="Times New Roman"/>
          <w:b/>
          <w:bCs/>
          <w:sz w:val="32"/>
          <w:szCs w:val="32"/>
        </w:rPr>
        <w:t>条</w:t>
      </w:r>
      <w:r>
        <w:rPr>
          <w:rFonts w:hint="eastAsia" w:cs="Times New Roman"/>
          <w:b/>
          <w:bCs/>
          <w:sz w:val="32"/>
          <w:szCs w:val="32"/>
        </w:rPr>
        <w:t>　</w:t>
      </w:r>
      <w:r>
        <w:rPr>
          <w:rFonts w:cs="Times New Roman"/>
          <w:sz w:val="32"/>
          <w:szCs w:val="32"/>
        </w:rPr>
        <w:t>受委托从事土壤污染风险管控和修复工作的第三方机构，应当具备相应的专业能力，并对出具的调查报告、实施方案、评估报告的真实性、准确性、完整性负责。</w:t>
      </w:r>
    </w:p>
    <w:p>
      <w:pPr>
        <w:suppressAutoHyphens/>
        <w:overflowPunct w:val="0"/>
        <w:topLinePunct/>
        <w:snapToGrid w:val="0"/>
        <w:spacing w:line="600" w:lineRule="exact"/>
        <w:ind w:firstLine="640"/>
        <w:rPr>
          <w:rFonts w:cs="Times New Roman"/>
          <w:sz w:val="32"/>
          <w:szCs w:val="32"/>
        </w:rPr>
      </w:pPr>
      <w:r>
        <w:rPr>
          <w:rFonts w:cs="Times New Roman"/>
          <w:sz w:val="32"/>
          <w:szCs w:val="32"/>
        </w:rPr>
        <w:t>受委托从事风险管控、修复的第三方机构，应当遵守国家和省有关环境标准和技术规范，按照委托合同的约定，对风险管控、修复的效果以及后期管理等承担相应责任，并做好风险管控、修复过程二次污染防范以及施工人员的安全防护工作。</w:t>
      </w:r>
    </w:p>
    <w:p>
      <w:pPr>
        <w:suppressAutoHyphens/>
        <w:overflowPunct w:val="0"/>
        <w:topLinePunct/>
        <w:adjustRightInd w:val="0"/>
        <w:snapToGrid w:val="0"/>
        <w:spacing w:line="600" w:lineRule="exact"/>
        <w:ind w:firstLine="0" w:firstLineChars="0"/>
        <w:jc w:val="center"/>
        <w:outlineLvl w:val="0"/>
        <w:rPr>
          <w:rFonts w:eastAsia="黑体" w:cs="Times New Roman"/>
          <w:bCs/>
          <w:kern w:val="44"/>
          <w:sz w:val="32"/>
          <w:szCs w:val="32"/>
        </w:rPr>
      </w:pPr>
    </w:p>
    <w:p>
      <w:pPr>
        <w:suppressAutoHyphens/>
        <w:overflowPunct w:val="0"/>
        <w:topLinePunct/>
        <w:adjustRightInd w:val="0"/>
        <w:snapToGrid w:val="0"/>
        <w:spacing w:line="600" w:lineRule="exact"/>
        <w:ind w:firstLine="0" w:firstLineChars="0"/>
        <w:jc w:val="center"/>
        <w:outlineLvl w:val="0"/>
        <w:rPr>
          <w:rFonts w:eastAsia="黑体" w:cs="Times New Roman"/>
          <w:bCs/>
          <w:kern w:val="44"/>
          <w:sz w:val="32"/>
          <w:szCs w:val="32"/>
        </w:rPr>
      </w:pPr>
      <w:r>
        <w:rPr>
          <w:rFonts w:eastAsia="黑体" w:cs="Times New Roman"/>
          <w:bCs/>
          <w:kern w:val="44"/>
          <w:sz w:val="32"/>
          <w:szCs w:val="32"/>
        </w:rPr>
        <w:t>第三章  调查评估</w:t>
      </w:r>
    </w:p>
    <w:p>
      <w:pPr>
        <w:suppressAutoHyphens/>
        <w:overflowPunct w:val="0"/>
        <w:topLinePunct/>
        <w:snapToGrid w:val="0"/>
        <w:spacing w:line="600" w:lineRule="exact"/>
        <w:ind w:firstLine="643"/>
        <w:rPr>
          <w:rFonts w:cs="Times New Roman"/>
          <w:sz w:val="32"/>
          <w:szCs w:val="32"/>
        </w:rPr>
      </w:pPr>
      <w:r>
        <w:rPr>
          <w:rFonts w:cs="Times New Roman"/>
          <w:b/>
          <w:bCs/>
          <w:sz w:val="32"/>
          <w:szCs w:val="32"/>
        </w:rPr>
        <w:t>第十条</w:t>
      </w:r>
      <w:r>
        <w:rPr>
          <w:rFonts w:hint="eastAsia" w:cs="Times New Roman"/>
          <w:b/>
          <w:bCs/>
          <w:sz w:val="32"/>
          <w:szCs w:val="32"/>
        </w:rPr>
        <w:t>　</w:t>
      </w:r>
      <w:r>
        <w:rPr>
          <w:rFonts w:cs="Times New Roman"/>
          <w:sz w:val="32"/>
          <w:szCs w:val="32"/>
        </w:rPr>
        <w:t>自然资源主管部门应当定期将建设用地详细规划和供地管理、用途变更和使用权变更、建设工程规划许可等信息书面通报给生态环境主管部门，并配合生态环境主管部门确定第二条第（一）（二）（三）（五）（六）类地块土地使用权人相关信息，包括土地使用权人名称、联系人、联系方式等。生态环境主管部门及时将有关信息上传至建设用地信息管理系统。</w:t>
      </w:r>
    </w:p>
    <w:p>
      <w:pPr>
        <w:suppressAutoHyphens/>
        <w:overflowPunct w:val="0"/>
        <w:topLinePunct/>
        <w:snapToGrid w:val="0"/>
        <w:spacing w:line="600" w:lineRule="exact"/>
        <w:ind w:firstLine="640"/>
        <w:rPr>
          <w:rFonts w:cs="Times New Roman"/>
          <w:sz w:val="32"/>
          <w:szCs w:val="32"/>
        </w:rPr>
      </w:pPr>
      <w:r>
        <w:rPr>
          <w:rFonts w:cs="Times New Roman"/>
          <w:sz w:val="32"/>
          <w:szCs w:val="32"/>
        </w:rPr>
        <w:t>生态环境主管部门应当在确定第二条规定的六类地块后10个工作日内书面通知土地使用权人，并督促其将地块有关信息</w:t>
      </w:r>
      <w:r>
        <w:rPr>
          <w:rFonts w:hint="eastAsia" w:cs="Times New Roman"/>
          <w:sz w:val="32"/>
          <w:szCs w:val="32"/>
        </w:rPr>
        <w:t>上传至</w:t>
      </w:r>
      <w:r>
        <w:rPr>
          <w:rFonts w:cs="Times New Roman"/>
          <w:sz w:val="32"/>
          <w:szCs w:val="32"/>
        </w:rPr>
        <w:t>建设用地信息管理系统。</w:t>
      </w:r>
    </w:p>
    <w:p>
      <w:pPr>
        <w:suppressAutoHyphens/>
        <w:overflowPunct w:val="0"/>
        <w:topLinePunct/>
        <w:snapToGrid w:val="0"/>
        <w:spacing w:line="600" w:lineRule="exact"/>
        <w:ind w:firstLine="643"/>
        <w:rPr>
          <w:rFonts w:cs="Times New Roman"/>
          <w:sz w:val="32"/>
          <w:szCs w:val="32"/>
        </w:rPr>
      </w:pPr>
      <w:r>
        <w:rPr>
          <w:rFonts w:cs="Times New Roman"/>
          <w:b/>
          <w:bCs/>
          <w:sz w:val="32"/>
          <w:szCs w:val="32"/>
        </w:rPr>
        <w:t>第十</w:t>
      </w:r>
      <w:r>
        <w:rPr>
          <w:rFonts w:hint="eastAsia" w:cs="Times New Roman"/>
          <w:b/>
          <w:bCs/>
          <w:sz w:val="32"/>
          <w:szCs w:val="32"/>
        </w:rPr>
        <w:t>一</w:t>
      </w:r>
      <w:r>
        <w:rPr>
          <w:rFonts w:cs="Times New Roman"/>
          <w:b/>
          <w:bCs/>
          <w:sz w:val="32"/>
          <w:szCs w:val="32"/>
        </w:rPr>
        <w:t>条</w:t>
      </w:r>
      <w:r>
        <w:rPr>
          <w:rFonts w:hint="eastAsia" w:cs="Times New Roman"/>
          <w:sz w:val="32"/>
          <w:szCs w:val="32"/>
        </w:rPr>
        <w:t>　</w:t>
      </w:r>
      <w:r>
        <w:rPr>
          <w:rFonts w:cs="Times New Roman"/>
          <w:sz w:val="32"/>
          <w:szCs w:val="32"/>
        </w:rPr>
        <w:t>土地使用权人应当在接到书面通知之日起6个月内完成土壤污染状况初步调查，编制土壤污染状况初步调查报告，及时上传</w:t>
      </w:r>
      <w:r>
        <w:rPr>
          <w:rFonts w:hint="eastAsia" w:cs="Times New Roman"/>
          <w:sz w:val="32"/>
          <w:szCs w:val="32"/>
        </w:rPr>
        <w:t>至</w:t>
      </w:r>
      <w:r>
        <w:rPr>
          <w:rFonts w:cs="Times New Roman"/>
          <w:sz w:val="32"/>
          <w:szCs w:val="32"/>
        </w:rPr>
        <w:t>建设用地信息管理系统，并报市级生态环境主管部门，由市级生态环境主管部门会同自然资源主管部门组织评审。</w:t>
      </w:r>
    </w:p>
    <w:p>
      <w:pPr>
        <w:suppressAutoHyphens/>
        <w:overflowPunct w:val="0"/>
        <w:topLinePunct/>
        <w:snapToGrid w:val="0"/>
        <w:spacing w:line="600" w:lineRule="exact"/>
        <w:ind w:firstLine="640"/>
        <w:rPr>
          <w:rFonts w:cs="Times New Roman"/>
          <w:sz w:val="32"/>
          <w:szCs w:val="32"/>
        </w:rPr>
      </w:pPr>
      <w:r>
        <w:rPr>
          <w:rFonts w:cs="Times New Roman"/>
          <w:sz w:val="32"/>
          <w:szCs w:val="32"/>
        </w:rPr>
        <w:t>土地使用权人应当于评审通过后30个工作日内将土壤污染状况初步调查报告上传</w:t>
      </w:r>
      <w:r>
        <w:rPr>
          <w:rFonts w:hint="eastAsia" w:cs="Times New Roman"/>
          <w:sz w:val="32"/>
          <w:szCs w:val="32"/>
        </w:rPr>
        <w:t>至</w:t>
      </w:r>
      <w:r>
        <w:rPr>
          <w:rFonts w:cs="Times New Roman"/>
          <w:sz w:val="32"/>
          <w:szCs w:val="32"/>
        </w:rPr>
        <w:t>建设用地信息管理系统，并通过其网站等便于公众知晓的方式将土壤污染状况初步调查报告主要内容向社会公开。本办法第二条第（三）类地块的土壤污染状况初步调查报告应作为不动产登记资料送交地方人民政府不动产登记机构。</w:t>
      </w:r>
    </w:p>
    <w:p>
      <w:pPr>
        <w:suppressAutoHyphens/>
        <w:overflowPunct w:val="0"/>
        <w:topLinePunct/>
        <w:snapToGrid w:val="0"/>
        <w:spacing w:line="600" w:lineRule="exact"/>
        <w:ind w:firstLine="643"/>
        <w:rPr>
          <w:rFonts w:cs="Times New Roman"/>
          <w:sz w:val="32"/>
          <w:szCs w:val="32"/>
        </w:rPr>
      </w:pPr>
      <w:r>
        <w:rPr>
          <w:rFonts w:cs="Times New Roman"/>
          <w:b/>
          <w:bCs/>
          <w:sz w:val="32"/>
          <w:szCs w:val="32"/>
        </w:rPr>
        <w:t>第十</w:t>
      </w:r>
      <w:r>
        <w:rPr>
          <w:rFonts w:hint="eastAsia" w:cs="Times New Roman"/>
          <w:b/>
          <w:bCs/>
          <w:sz w:val="32"/>
          <w:szCs w:val="32"/>
        </w:rPr>
        <w:t>二</w:t>
      </w:r>
      <w:r>
        <w:rPr>
          <w:rFonts w:cs="Times New Roman"/>
          <w:b/>
          <w:bCs/>
          <w:sz w:val="32"/>
          <w:szCs w:val="32"/>
        </w:rPr>
        <w:t>条</w:t>
      </w:r>
      <w:r>
        <w:rPr>
          <w:rFonts w:hint="eastAsia" w:cs="Times New Roman"/>
          <w:sz w:val="32"/>
          <w:szCs w:val="32"/>
        </w:rPr>
        <w:t>　</w:t>
      </w:r>
      <w:r>
        <w:rPr>
          <w:rFonts w:cs="Times New Roman"/>
          <w:sz w:val="32"/>
          <w:szCs w:val="32"/>
        </w:rPr>
        <w:t>市级生态环境主管部门应当于评审后10个工作日内将土壤污染状况初步调查报告评审信息上传</w:t>
      </w:r>
      <w:r>
        <w:rPr>
          <w:rFonts w:hint="eastAsia" w:cs="Times New Roman"/>
          <w:sz w:val="32"/>
          <w:szCs w:val="32"/>
        </w:rPr>
        <w:t>至</w:t>
      </w:r>
      <w:r>
        <w:rPr>
          <w:rFonts w:cs="Times New Roman"/>
          <w:sz w:val="32"/>
          <w:szCs w:val="32"/>
        </w:rPr>
        <w:t>建设用地信息管理系统。</w:t>
      </w:r>
    </w:p>
    <w:p>
      <w:pPr>
        <w:suppressAutoHyphens/>
        <w:overflowPunct w:val="0"/>
        <w:topLinePunct/>
        <w:snapToGrid w:val="0"/>
        <w:spacing w:line="600" w:lineRule="exact"/>
        <w:ind w:firstLine="643"/>
        <w:rPr>
          <w:rFonts w:cs="Times New Roman"/>
          <w:sz w:val="32"/>
          <w:szCs w:val="32"/>
        </w:rPr>
      </w:pPr>
      <w:r>
        <w:rPr>
          <w:rFonts w:cs="Times New Roman"/>
          <w:b/>
          <w:bCs/>
          <w:sz w:val="32"/>
          <w:szCs w:val="32"/>
        </w:rPr>
        <w:t>第十</w:t>
      </w:r>
      <w:r>
        <w:rPr>
          <w:rFonts w:hint="eastAsia" w:cs="Times New Roman"/>
          <w:b/>
          <w:bCs/>
          <w:sz w:val="32"/>
          <w:szCs w:val="32"/>
        </w:rPr>
        <w:t>三</w:t>
      </w:r>
      <w:r>
        <w:rPr>
          <w:rFonts w:cs="Times New Roman"/>
          <w:b/>
          <w:bCs/>
          <w:sz w:val="32"/>
          <w:szCs w:val="32"/>
        </w:rPr>
        <w:t>条</w:t>
      </w:r>
      <w:r>
        <w:rPr>
          <w:rFonts w:hint="eastAsia" w:cs="Times New Roman"/>
          <w:sz w:val="32"/>
          <w:szCs w:val="32"/>
        </w:rPr>
        <w:t>　</w:t>
      </w:r>
      <w:r>
        <w:rPr>
          <w:rFonts w:cs="Times New Roman"/>
          <w:sz w:val="32"/>
          <w:szCs w:val="32"/>
        </w:rPr>
        <w:t>土壤污染状况初步调查应当按照国家和省有关环境标准和技术规范开展，土壤污染状况初步调查报告应当包括地块基本信息、土壤是否受到污染、污染物含量是否超过土壤污染风险管控标准等内容。污染物含量超过土壤污染风险管控标准的，土壤污染状况</w:t>
      </w:r>
      <w:r>
        <w:rPr>
          <w:rFonts w:hint="eastAsia" w:cs="Times New Roman"/>
          <w:sz w:val="32"/>
          <w:szCs w:val="32"/>
        </w:rPr>
        <w:t>初步</w:t>
      </w:r>
      <w:r>
        <w:rPr>
          <w:rFonts w:cs="Times New Roman"/>
          <w:sz w:val="32"/>
          <w:szCs w:val="32"/>
        </w:rPr>
        <w:t>调查报告还应当包括污染类型、污染来源以及地下水是否受到污染等内容，并附具采样信息和检测报告。</w:t>
      </w:r>
    </w:p>
    <w:p>
      <w:pPr>
        <w:suppressAutoHyphens/>
        <w:overflowPunct w:val="0"/>
        <w:topLinePunct/>
        <w:snapToGrid w:val="0"/>
        <w:spacing w:line="600" w:lineRule="exact"/>
        <w:ind w:firstLine="640"/>
        <w:rPr>
          <w:rFonts w:cs="Times New Roman"/>
          <w:sz w:val="32"/>
          <w:szCs w:val="32"/>
        </w:rPr>
      </w:pPr>
      <w:r>
        <w:rPr>
          <w:rFonts w:cs="Times New Roman"/>
          <w:sz w:val="32"/>
          <w:szCs w:val="32"/>
        </w:rPr>
        <w:t>对尚未明确土地规划用途的地块，土壤污染状况初步调查报告应当按照建设用地规划用途第一类、</w:t>
      </w:r>
      <w:r>
        <w:rPr>
          <w:rFonts w:hint="eastAsia" w:cs="Times New Roman"/>
          <w:sz w:val="32"/>
          <w:szCs w:val="32"/>
        </w:rPr>
        <w:t>第</w:t>
      </w:r>
      <w:r>
        <w:rPr>
          <w:rFonts w:cs="Times New Roman"/>
          <w:sz w:val="32"/>
          <w:szCs w:val="32"/>
        </w:rPr>
        <w:t>二类用地的风险筛选值分别进行评价，并明确污染物含量是否超过相应土壤污染风险管控标准，按照建设用地规划用途</w:t>
      </w:r>
      <w:r>
        <w:rPr>
          <w:rFonts w:hint="eastAsia" w:cs="Times New Roman"/>
          <w:sz w:val="32"/>
          <w:szCs w:val="32"/>
        </w:rPr>
        <w:t>第</w:t>
      </w:r>
      <w:r>
        <w:rPr>
          <w:rFonts w:cs="Times New Roman"/>
          <w:sz w:val="32"/>
          <w:szCs w:val="32"/>
        </w:rPr>
        <w:t>一类用地风险筛选值评价结果上传</w:t>
      </w:r>
      <w:r>
        <w:rPr>
          <w:rFonts w:hint="eastAsia" w:cs="Times New Roman"/>
          <w:sz w:val="32"/>
          <w:szCs w:val="32"/>
        </w:rPr>
        <w:t>至</w:t>
      </w:r>
      <w:r>
        <w:rPr>
          <w:rFonts w:cs="Times New Roman"/>
          <w:sz w:val="32"/>
          <w:szCs w:val="32"/>
        </w:rPr>
        <w:t>建设用地信息管理系统。</w:t>
      </w:r>
    </w:p>
    <w:p>
      <w:pPr>
        <w:suppressAutoHyphens/>
        <w:overflowPunct w:val="0"/>
        <w:topLinePunct/>
        <w:snapToGrid w:val="0"/>
        <w:spacing w:line="600" w:lineRule="exact"/>
        <w:ind w:firstLine="643"/>
        <w:rPr>
          <w:rFonts w:cs="Times New Roman"/>
          <w:sz w:val="32"/>
          <w:szCs w:val="32"/>
        </w:rPr>
      </w:pPr>
      <w:r>
        <w:rPr>
          <w:rFonts w:cs="Times New Roman"/>
          <w:b/>
          <w:bCs/>
          <w:sz w:val="32"/>
          <w:szCs w:val="32"/>
        </w:rPr>
        <w:t>第十</w:t>
      </w:r>
      <w:r>
        <w:rPr>
          <w:rFonts w:hint="eastAsia" w:cs="Times New Roman"/>
          <w:b/>
          <w:bCs/>
          <w:sz w:val="32"/>
          <w:szCs w:val="32"/>
        </w:rPr>
        <w:t>四</w:t>
      </w:r>
      <w:r>
        <w:rPr>
          <w:rFonts w:cs="Times New Roman"/>
          <w:b/>
          <w:bCs/>
          <w:sz w:val="32"/>
          <w:szCs w:val="32"/>
        </w:rPr>
        <w:t>条</w:t>
      </w:r>
      <w:r>
        <w:rPr>
          <w:rFonts w:hint="eastAsia" w:cs="Times New Roman"/>
          <w:sz w:val="32"/>
          <w:szCs w:val="32"/>
        </w:rPr>
        <w:t>　</w:t>
      </w:r>
      <w:r>
        <w:rPr>
          <w:rFonts w:cs="Times New Roman"/>
          <w:sz w:val="32"/>
          <w:szCs w:val="32"/>
        </w:rPr>
        <w:t>市级生态环境主管部门会同自然资源主管部门根据土壤污染状况初步调查报告评审意见，建立污染地块名录，同时向社会公开。</w:t>
      </w:r>
    </w:p>
    <w:p>
      <w:pPr>
        <w:suppressAutoHyphens/>
        <w:overflowPunct w:val="0"/>
        <w:topLinePunct/>
        <w:snapToGrid w:val="0"/>
        <w:spacing w:line="600" w:lineRule="exact"/>
        <w:ind w:firstLine="643"/>
        <w:rPr>
          <w:rFonts w:cs="Times New Roman"/>
          <w:sz w:val="32"/>
          <w:szCs w:val="32"/>
        </w:rPr>
      </w:pPr>
      <w:r>
        <w:rPr>
          <w:rFonts w:cs="Times New Roman"/>
          <w:b/>
          <w:bCs/>
          <w:sz w:val="32"/>
          <w:szCs w:val="32"/>
        </w:rPr>
        <w:t>第十</w:t>
      </w:r>
      <w:r>
        <w:rPr>
          <w:rFonts w:hint="eastAsia" w:cs="Times New Roman"/>
          <w:b/>
          <w:bCs/>
          <w:sz w:val="32"/>
          <w:szCs w:val="32"/>
        </w:rPr>
        <w:t>五</w:t>
      </w:r>
      <w:r>
        <w:rPr>
          <w:rFonts w:cs="Times New Roman"/>
          <w:b/>
          <w:bCs/>
          <w:sz w:val="32"/>
          <w:szCs w:val="32"/>
        </w:rPr>
        <w:t>条</w:t>
      </w:r>
      <w:r>
        <w:rPr>
          <w:rFonts w:hint="eastAsia" w:cs="Times New Roman"/>
          <w:sz w:val="32"/>
          <w:szCs w:val="32"/>
        </w:rPr>
        <w:t>　</w:t>
      </w:r>
      <w:r>
        <w:rPr>
          <w:rFonts w:cs="Times New Roman"/>
          <w:sz w:val="32"/>
          <w:szCs w:val="32"/>
        </w:rPr>
        <w:t>对纳入污染地块名录的，市级生态环境主管部门应当在10个工作日内书面通知土壤污染责任人、土地使用权人开展土壤污染状况详细调查和风险评估。</w:t>
      </w:r>
    </w:p>
    <w:p>
      <w:pPr>
        <w:suppressAutoHyphens/>
        <w:overflowPunct w:val="0"/>
        <w:topLinePunct/>
        <w:snapToGrid w:val="0"/>
        <w:spacing w:line="600" w:lineRule="exact"/>
        <w:ind w:firstLine="640"/>
        <w:rPr>
          <w:rFonts w:cs="Times New Roman"/>
          <w:sz w:val="32"/>
          <w:szCs w:val="32"/>
        </w:rPr>
      </w:pPr>
      <w:r>
        <w:rPr>
          <w:rFonts w:cs="Times New Roman"/>
          <w:sz w:val="32"/>
          <w:szCs w:val="32"/>
        </w:rPr>
        <w:t>土壤污染责任人、土地使用权人应当在接到书面通知之日起6个月内，完成土壤污染状况详细调查和风险评估，编制土壤污染状况详细调查和风险评估报告，及时上传</w:t>
      </w:r>
      <w:r>
        <w:rPr>
          <w:rFonts w:hint="eastAsia" w:cs="Times New Roman"/>
          <w:sz w:val="32"/>
          <w:szCs w:val="32"/>
        </w:rPr>
        <w:t>至</w:t>
      </w:r>
      <w:r>
        <w:rPr>
          <w:rFonts w:cs="Times New Roman"/>
          <w:sz w:val="32"/>
          <w:szCs w:val="32"/>
        </w:rPr>
        <w:t>建设用地信息管理系统并报省级生态环境主管部门，由省级生态环境主管部门会同自然资源主管部门对土壤污染状况详细调查和风险评估报告组织评审。</w:t>
      </w:r>
    </w:p>
    <w:p>
      <w:pPr>
        <w:suppressAutoHyphens/>
        <w:overflowPunct w:val="0"/>
        <w:topLinePunct/>
        <w:snapToGrid w:val="0"/>
        <w:spacing w:line="600" w:lineRule="exact"/>
        <w:ind w:firstLine="640"/>
        <w:rPr>
          <w:rFonts w:cs="Times New Roman"/>
          <w:sz w:val="32"/>
          <w:szCs w:val="32"/>
        </w:rPr>
      </w:pPr>
      <w:r>
        <w:rPr>
          <w:rFonts w:cs="Times New Roman"/>
          <w:sz w:val="32"/>
          <w:szCs w:val="32"/>
        </w:rPr>
        <w:t>土壤污染责任人、土地使用权人应当于评审通过后30个工作日内将土壤污染状况详细调查和风险评估报告及时上传</w:t>
      </w:r>
      <w:r>
        <w:rPr>
          <w:rFonts w:hint="eastAsia" w:cs="Times New Roman"/>
          <w:sz w:val="32"/>
          <w:szCs w:val="32"/>
        </w:rPr>
        <w:t>至</w:t>
      </w:r>
      <w:r>
        <w:rPr>
          <w:rFonts w:cs="Times New Roman"/>
          <w:sz w:val="32"/>
          <w:szCs w:val="32"/>
        </w:rPr>
        <w:t>建设用地信息管理系统，并通过其网站等便于公众知晓的方式将土壤污染状况详细调查和风险评估报告主要内容向社会公开。</w:t>
      </w:r>
    </w:p>
    <w:p>
      <w:pPr>
        <w:suppressAutoHyphens/>
        <w:overflowPunct w:val="0"/>
        <w:topLinePunct/>
        <w:snapToGrid w:val="0"/>
        <w:spacing w:line="600" w:lineRule="exact"/>
        <w:ind w:firstLine="643"/>
        <w:rPr>
          <w:rFonts w:cs="Times New Roman"/>
          <w:sz w:val="32"/>
          <w:szCs w:val="32"/>
        </w:rPr>
      </w:pPr>
      <w:r>
        <w:rPr>
          <w:rFonts w:cs="Times New Roman"/>
          <w:b/>
          <w:bCs/>
          <w:sz w:val="32"/>
          <w:szCs w:val="32"/>
        </w:rPr>
        <w:t>第</w:t>
      </w:r>
      <w:r>
        <w:rPr>
          <w:rFonts w:hint="eastAsia" w:cs="Times New Roman"/>
          <w:b/>
          <w:bCs/>
          <w:sz w:val="32"/>
          <w:szCs w:val="32"/>
        </w:rPr>
        <w:t>十六</w:t>
      </w:r>
      <w:r>
        <w:rPr>
          <w:rFonts w:cs="Times New Roman"/>
          <w:b/>
          <w:bCs/>
          <w:sz w:val="32"/>
          <w:szCs w:val="32"/>
        </w:rPr>
        <w:t>条</w:t>
      </w:r>
      <w:r>
        <w:rPr>
          <w:rFonts w:hint="eastAsia" w:cs="Times New Roman"/>
          <w:sz w:val="32"/>
          <w:szCs w:val="32"/>
        </w:rPr>
        <w:t>　</w:t>
      </w:r>
      <w:r>
        <w:rPr>
          <w:rFonts w:cs="Times New Roman"/>
          <w:sz w:val="32"/>
          <w:szCs w:val="32"/>
        </w:rPr>
        <w:t>省级生态环境主管部门应当于评审后10个工作日内将土壤污染状况详细调查和风险评估报告评审信息上传</w:t>
      </w:r>
      <w:r>
        <w:rPr>
          <w:rFonts w:hint="eastAsia" w:cs="Times New Roman"/>
          <w:sz w:val="32"/>
          <w:szCs w:val="32"/>
        </w:rPr>
        <w:t>至</w:t>
      </w:r>
      <w:r>
        <w:rPr>
          <w:rFonts w:cs="Times New Roman"/>
          <w:sz w:val="32"/>
          <w:szCs w:val="32"/>
        </w:rPr>
        <w:t>建设用地信息管理系统。</w:t>
      </w:r>
    </w:p>
    <w:p>
      <w:pPr>
        <w:suppressAutoHyphens/>
        <w:overflowPunct w:val="0"/>
        <w:topLinePunct/>
        <w:snapToGrid w:val="0"/>
        <w:spacing w:line="600" w:lineRule="exact"/>
        <w:ind w:firstLine="643"/>
        <w:rPr>
          <w:rFonts w:cs="Times New Roman"/>
          <w:sz w:val="32"/>
          <w:szCs w:val="32"/>
        </w:rPr>
      </w:pPr>
      <w:r>
        <w:rPr>
          <w:rFonts w:cs="Times New Roman"/>
          <w:b/>
          <w:bCs/>
          <w:sz w:val="32"/>
          <w:szCs w:val="32"/>
        </w:rPr>
        <w:t>第</w:t>
      </w:r>
      <w:r>
        <w:rPr>
          <w:rFonts w:hint="eastAsia" w:cs="Times New Roman"/>
          <w:b/>
          <w:bCs/>
          <w:sz w:val="32"/>
          <w:szCs w:val="32"/>
        </w:rPr>
        <w:t>十七</w:t>
      </w:r>
      <w:r>
        <w:rPr>
          <w:rFonts w:cs="Times New Roman"/>
          <w:b/>
          <w:bCs/>
          <w:sz w:val="32"/>
          <w:szCs w:val="32"/>
        </w:rPr>
        <w:t>条</w:t>
      </w:r>
      <w:r>
        <w:rPr>
          <w:rFonts w:hint="eastAsia" w:cs="Times New Roman"/>
          <w:b/>
          <w:bCs/>
          <w:sz w:val="32"/>
          <w:szCs w:val="32"/>
        </w:rPr>
        <w:t>　</w:t>
      </w:r>
      <w:r>
        <w:rPr>
          <w:rFonts w:cs="Times New Roman"/>
          <w:sz w:val="32"/>
          <w:szCs w:val="32"/>
        </w:rPr>
        <w:t>土壤污染状况详细调查和风险评估应当按照国家</w:t>
      </w:r>
      <w:r>
        <w:rPr>
          <w:rFonts w:hint="eastAsia" w:cs="Times New Roman"/>
          <w:sz w:val="32"/>
          <w:szCs w:val="32"/>
        </w:rPr>
        <w:t>、</w:t>
      </w:r>
      <w:r>
        <w:rPr>
          <w:rFonts w:cs="Times New Roman"/>
          <w:sz w:val="32"/>
          <w:szCs w:val="32"/>
        </w:rPr>
        <w:t>省有关环境标准和技术规范开展，土壤污染状况详细调查和风险评估报告应当包括地块基本信息、土壤及地下水污染物状况及其范围、以及对土壤、地表水、地下水、大气污染的影响情况、应当关注的污染物、暴露途径、公众健康风险水平、风险管控、修复目标及基本要求等主要内容，并附具采样信息和检测报告。</w:t>
      </w:r>
    </w:p>
    <w:p>
      <w:pPr>
        <w:suppressAutoHyphens/>
        <w:overflowPunct w:val="0"/>
        <w:topLinePunct/>
        <w:adjustRightInd w:val="0"/>
        <w:snapToGrid w:val="0"/>
        <w:spacing w:line="600" w:lineRule="exact"/>
        <w:ind w:firstLine="640"/>
        <w:outlineLvl w:val="0"/>
        <w:rPr>
          <w:rFonts w:cs="Times New Roman"/>
          <w:sz w:val="32"/>
          <w:szCs w:val="32"/>
        </w:rPr>
      </w:pPr>
      <w:r>
        <w:rPr>
          <w:rFonts w:cs="Times New Roman"/>
          <w:sz w:val="32"/>
          <w:szCs w:val="32"/>
        </w:rPr>
        <w:t>对于尚未明确土地规划用途的地块，土壤污染状况详细调查和风险评估报告应当按照建设用地规划用途第一类、</w:t>
      </w:r>
      <w:r>
        <w:rPr>
          <w:rFonts w:hint="eastAsia" w:cs="Times New Roman"/>
          <w:sz w:val="32"/>
          <w:szCs w:val="32"/>
        </w:rPr>
        <w:t>第</w:t>
      </w:r>
      <w:r>
        <w:rPr>
          <w:rFonts w:cs="Times New Roman"/>
          <w:sz w:val="32"/>
          <w:szCs w:val="32"/>
        </w:rPr>
        <w:t>二类用地分别进行评估，并明确地块是否需要实施风险管控、修复</w:t>
      </w:r>
      <w:r>
        <w:rPr>
          <w:rFonts w:hint="eastAsia" w:cs="Times New Roman"/>
          <w:sz w:val="32"/>
          <w:szCs w:val="32"/>
        </w:rPr>
        <w:t>，</w:t>
      </w:r>
      <w:r>
        <w:rPr>
          <w:rFonts w:cs="Times New Roman"/>
          <w:sz w:val="32"/>
          <w:szCs w:val="32"/>
        </w:rPr>
        <w:t>按照建设用地规划用途第一类用地风险评估结果上传</w:t>
      </w:r>
      <w:r>
        <w:rPr>
          <w:rFonts w:hint="eastAsia" w:cs="Times New Roman"/>
          <w:sz w:val="32"/>
          <w:szCs w:val="32"/>
        </w:rPr>
        <w:t>至</w:t>
      </w:r>
      <w:r>
        <w:rPr>
          <w:rFonts w:cs="Times New Roman"/>
          <w:sz w:val="32"/>
          <w:szCs w:val="32"/>
        </w:rPr>
        <w:t>建设用地信息管理系统。</w:t>
      </w:r>
    </w:p>
    <w:p>
      <w:pPr>
        <w:suppressAutoHyphens/>
        <w:overflowPunct w:val="0"/>
        <w:topLinePunct/>
        <w:adjustRightInd w:val="0"/>
        <w:snapToGrid w:val="0"/>
        <w:spacing w:line="600" w:lineRule="exact"/>
        <w:ind w:firstLine="643"/>
        <w:outlineLvl w:val="0"/>
        <w:rPr>
          <w:rFonts w:cs="Times New Roman"/>
          <w:sz w:val="32"/>
          <w:szCs w:val="32"/>
        </w:rPr>
      </w:pPr>
      <w:r>
        <w:rPr>
          <w:rFonts w:cs="Times New Roman"/>
          <w:b/>
          <w:bCs/>
          <w:sz w:val="32"/>
          <w:szCs w:val="32"/>
        </w:rPr>
        <w:t>第</w:t>
      </w:r>
      <w:r>
        <w:rPr>
          <w:rFonts w:hint="eastAsia" w:cs="Times New Roman"/>
          <w:b/>
          <w:bCs/>
          <w:sz w:val="32"/>
          <w:szCs w:val="32"/>
        </w:rPr>
        <w:t>十八</w:t>
      </w:r>
      <w:r>
        <w:rPr>
          <w:rFonts w:cs="Times New Roman"/>
          <w:b/>
          <w:bCs/>
          <w:sz w:val="32"/>
          <w:szCs w:val="32"/>
        </w:rPr>
        <w:t>条</w:t>
      </w:r>
      <w:r>
        <w:rPr>
          <w:rFonts w:hint="eastAsia" w:cs="Times New Roman"/>
          <w:b/>
          <w:bCs/>
          <w:sz w:val="32"/>
          <w:szCs w:val="32"/>
        </w:rPr>
        <w:t>　</w:t>
      </w:r>
      <w:r>
        <w:rPr>
          <w:rFonts w:cs="Times New Roman"/>
          <w:sz w:val="32"/>
          <w:szCs w:val="32"/>
        </w:rPr>
        <w:t>省级生态环境主管部门会同自然资源主管部门根据土壤污染状况详细调查和风险评估报告评审意见，将需要实施风险管控、修复的地块纳入建设用地土壤污染风险管控和修复名录，并向社会公开。</w:t>
      </w:r>
    </w:p>
    <w:p>
      <w:pPr>
        <w:suppressAutoHyphens/>
        <w:overflowPunct w:val="0"/>
        <w:topLinePunct/>
        <w:adjustRightInd w:val="0"/>
        <w:snapToGrid w:val="0"/>
        <w:spacing w:line="600" w:lineRule="exact"/>
        <w:ind w:firstLine="0" w:firstLineChars="0"/>
        <w:jc w:val="center"/>
        <w:outlineLvl w:val="0"/>
        <w:rPr>
          <w:rFonts w:eastAsia="黑体" w:cs="Times New Roman"/>
          <w:bCs/>
          <w:kern w:val="44"/>
          <w:sz w:val="32"/>
          <w:szCs w:val="32"/>
        </w:rPr>
      </w:pPr>
    </w:p>
    <w:p>
      <w:pPr>
        <w:suppressAutoHyphens/>
        <w:overflowPunct w:val="0"/>
        <w:topLinePunct/>
        <w:adjustRightInd w:val="0"/>
        <w:snapToGrid w:val="0"/>
        <w:spacing w:line="600" w:lineRule="exact"/>
        <w:ind w:firstLine="0" w:firstLineChars="0"/>
        <w:jc w:val="center"/>
        <w:outlineLvl w:val="0"/>
        <w:rPr>
          <w:rFonts w:eastAsia="黑体" w:cs="Times New Roman"/>
          <w:bCs/>
          <w:kern w:val="44"/>
          <w:sz w:val="32"/>
          <w:szCs w:val="32"/>
        </w:rPr>
      </w:pPr>
      <w:r>
        <w:rPr>
          <w:rFonts w:eastAsia="黑体" w:cs="Times New Roman"/>
          <w:bCs/>
          <w:kern w:val="44"/>
          <w:sz w:val="32"/>
          <w:szCs w:val="32"/>
        </w:rPr>
        <w:t>第四章</w:t>
      </w:r>
      <w:r>
        <w:rPr>
          <w:rFonts w:hint="eastAsia" w:eastAsia="黑体" w:cs="Times New Roman"/>
          <w:bCs/>
          <w:kern w:val="44"/>
          <w:sz w:val="32"/>
          <w:szCs w:val="32"/>
        </w:rPr>
        <w:t>　</w:t>
      </w:r>
      <w:r>
        <w:rPr>
          <w:rFonts w:eastAsia="黑体" w:cs="Times New Roman"/>
          <w:bCs/>
          <w:kern w:val="44"/>
          <w:sz w:val="32"/>
          <w:szCs w:val="32"/>
        </w:rPr>
        <w:t>风险管控和修复</w:t>
      </w:r>
    </w:p>
    <w:p>
      <w:pPr>
        <w:suppressAutoHyphens/>
        <w:overflowPunct w:val="0"/>
        <w:topLinePunct/>
        <w:snapToGrid w:val="0"/>
        <w:spacing w:line="600" w:lineRule="exact"/>
        <w:ind w:firstLine="643"/>
        <w:rPr>
          <w:rFonts w:cs="Times New Roman"/>
          <w:sz w:val="32"/>
          <w:szCs w:val="32"/>
        </w:rPr>
      </w:pPr>
      <w:r>
        <w:rPr>
          <w:rFonts w:cs="Times New Roman"/>
          <w:b/>
          <w:bCs/>
          <w:sz w:val="32"/>
          <w:szCs w:val="32"/>
        </w:rPr>
        <w:t>第</w:t>
      </w:r>
      <w:r>
        <w:rPr>
          <w:rFonts w:hint="eastAsia" w:cs="Times New Roman"/>
          <w:b/>
          <w:bCs/>
          <w:sz w:val="32"/>
          <w:szCs w:val="32"/>
        </w:rPr>
        <w:t>十九</w:t>
      </w:r>
      <w:r>
        <w:rPr>
          <w:rFonts w:cs="Times New Roman"/>
          <w:b/>
          <w:bCs/>
          <w:sz w:val="32"/>
          <w:szCs w:val="32"/>
        </w:rPr>
        <w:t>条</w:t>
      </w:r>
      <w:r>
        <w:rPr>
          <w:rFonts w:hint="eastAsia" w:cs="Times New Roman"/>
          <w:sz w:val="32"/>
          <w:szCs w:val="32"/>
        </w:rPr>
        <w:t>　</w:t>
      </w:r>
      <w:r>
        <w:rPr>
          <w:rFonts w:cs="Times New Roman"/>
          <w:sz w:val="32"/>
          <w:szCs w:val="32"/>
        </w:rPr>
        <w:t>对列入建设用地土壤污染风险管控和修复名录的地块，土壤污染责任人应按照国家和省等有关环境标准和技术规范要求，结合土壤污染</w:t>
      </w:r>
      <w:r>
        <w:rPr>
          <w:rFonts w:hint="eastAsia" w:cs="Times New Roman"/>
          <w:sz w:val="32"/>
          <w:szCs w:val="32"/>
        </w:rPr>
        <w:t>状况详细调查和</w:t>
      </w:r>
      <w:r>
        <w:rPr>
          <w:rFonts w:cs="Times New Roman"/>
          <w:sz w:val="32"/>
          <w:szCs w:val="32"/>
        </w:rPr>
        <w:t>风险评估报告及土地用途，编制风险管控方案或修复方案，报市级生态环境主管部门备案，并及时上传</w:t>
      </w:r>
      <w:r>
        <w:rPr>
          <w:rFonts w:hint="eastAsia" w:cs="Times New Roman"/>
          <w:sz w:val="32"/>
          <w:szCs w:val="32"/>
        </w:rPr>
        <w:t>至</w:t>
      </w:r>
      <w:r>
        <w:rPr>
          <w:rFonts w:cs="Times New Roman"/>
          <w:sz w:val="32"/>
          <w:szCs w:val="32"/>
        </w:rPr>
        <w:t>建设用地信息管理系统。</w:t>
      </w:r>
    </w:p>
    <w:p>
      <w:pPr>
        <w:suppressAutoHyphens/>
        <w:overflowPunct w:val="0"/>
        <w:topLinePunct/>
        <w:snapToGrid w:val="0"/>
        <w:spacing w:line="600" w:lineRule="exact"/>
        <w:ind w:firstLine="640"/>
        <w:rPr>
          <w:rFonts w:cs="Times New Roman"/>
          <w:sz w:val="32"/>
          <w:szCs w:val="32"/>
        </w:rPr>
      </w:pPr>
      <w:r>
        <w:rPr>
          <w:rFonts w:cs="Times New Roman"/>
          <w:sz w:val="32"/>
          <w:szCs w:val="32"/>
        </w:rPr>
        <w:t>土壤污染责任人在实施风险管控或修复期间，应当将风险管控或修复方案的主要内容通过其网站等便于公众知晓的方式向社会公开。</w:t>
      </w:r>
    </w:p>
    <w:p>
      <w:pPr>
        <w:suppressAutoHyphens/>
        <w:overflowPunct w:val="0"/>
        <w:topLinePunct/>
        <w:snapToGrid w:val="0"/>
        <w:spacing w:line="600" w:lineRule="exact"/>
        <w:ind w:firstLine="643"/>
        <w:rPr>
          <w:rFonts w:cs="Times New Roman"/>
          <w:sz w:val="32"/>
          <w:szCs w:val="32"/>
        </w:rPr>
      </w:pPr>
      <w:r>
        <w:rPr>
          <w:rFonts w:cs="Times New Roman"/>
          <w:b/>
          <w:bCs/>
          <w:sz w:val="32"/>
          <w:szCs w:val="32"/>
        </w:rPr>
        <w:t>第二十条</w:t>
      </w:r>
      <w:r>
        <w:rPr>
          <w:rFonts w:hint="eastAsia" w:cs="Times New Roman"/>
          <w:sz w:val="32"/>
          <w:szCs w:val="32"/>
        </w:rPr>
        <w:t>　</w:t>
      </w:r>
      <w:r>
        <w:rPr>
          <w:rFonts w:cs="Times New Roman"/>
          <w:sz w:val="32"/>
          <w:szCs w:val="32"/>
        </w:rPr>
        <w:t>土壤污染责任人应当根据土壤污染状况详细调查和风险评估结果，并结合污染地块相关开发利用计划，有针对性地实施风险管控或修复。</w:t>
      </w:r>
    </w:p>
    <w:p>
      <w:pPr>
        <w:suppressAutoHyphens/>
        <w:overflowPunct w:val="0"/>
        <w:topLinePunct/>
        <w:snapToGrid w:val="0"/>
        <w:spacing w:line="600" w:lineRule="exact"/>
        <w:ind w:firstLine="640"/>
        <w:rPr>
          <w:rFonts w:cs="Times New Roman"/>
          <w:sz w:val="32"/>
          <w:szCs w:val="32"/>
        </w:rPr>
      </w:pPr>
      <w:r>
        <w:rPr>
          <w:rFonts w:cs="Times New Roman"/>
          <w:sz w:val="32"/>
          <w:szCs w:val="32"/>
        </w:rPr>
        <w:t>对拟开发利用为“一住两公”的污染地块，应当选用无需实施后期管理的风险管控、修复方案。</w:t>
      </w:r>
    </w:p>
    <w:p>
      <w:pPr>
        <w:suppressAutoHyphens/>
        <w:overflowPunct w:val="0"/>
        <w:topLinePunct/>
        <w:snapToGrid w:val="0"/>
        <w:spacing w:line="600" w:lineRule="exact"/>
        <w:ind w:firstLine="643"/>
        <w:rPr>
          <w:rFonts w:cs="Times New Roman"/>
          <w:sz w:val="32"/>
          <w:szCs w:val="32"/>
        </w:rPr>
      </w:pPr>
      <w:r>
        <w:rPr>
          <w:rFonts w:hint="eastAsia" w:cs="Times New Roman"/>
          <w:b/>
          <w:bCs/>
          <w:sz w:val="32"/>
          <w:szCs w:val="32"/>
        </w:rPr>
        <w:t>第二十一条　</w:t>
      </w:r>
      <w:r>
        <w:rPr>
          <w:rFonts w:cs="Times New Roman"/>
          <w:sz w:val="32"/>
          <w:szCs w:val="32"/>
        </w:rPr>
        <w:t>风险管控、修复方案应当包括项目背景、地块问题识别、风险管控或修复模式、技术筛选、技术工艺路线和工艺参数、技术方案设计、地下水污染防治、环境管理计划、工程设计、成本效益分析、二次污染防范措施等内容。</w:t>
      </w:r>
    </w:p>
    <w:p>
      <w:pPr>
        <w:suppressAutoHyphens/>
        <w:overflowPunct w:val="0"/>
        <w:topLinePunct/>
        <w:snapToGrid w:val="0"/>
        <w:spacing w:line="600" w:lineRule="exact"/>
        <w:ind w:firstLine="643"/>
        <w:rPr>
          <w:rFonts w:cs="Times New Roman"/>
          <w:sz w:val="32"/>
          <w:szCs w:val="32"/>
        </w:rPr>
      </w:pPr>
      <w:r>
        <w:rPr>
          <w:rFonts w:cs="Times New Roman"/>
          <w:b/>
          <w:bCs/>
          <w:sz w:val="32"/>
          <w:szCs w:val="32"/>
        </w:rPr>
        <w:t>第二十</w:t>
      </w:r>
      <w:r>
        <w:rPr>
          <w:rFonts w:hint="eastAsia" w:cs="Times New Roman"/>
          <w:b/>
          <w:bCs/>
          <w:sz w:val="32"/>
          <w:szCs w:val="32"/>
        </w:rPr>
        <w:t>二</w:t>
      </w:r>
      <w:r>
        <w:rPr>
          <w:rFonts w:cs="Times New Roman"/>
          <w:b/>
          <w:bCs/>
          <w:sz w:val="32"/>
          <w:szCs w:val="32"/>
        </w:rPr>
        <w:t>条</w:t>
      </w:r>
      <w:r>
        <w:rPr>
          <w:rFonts w:hint="eastAsia" w:cs="Times New Roman"/>
          <w:sz w:val="32"/>
          <w:szCs w:val="32"/>
        </w:rPr>
        <w:t>　</w:t>
      </w:r>
      <w:r>
        <w:rPr>
          <w:rFonts w:cs="Times New Roman"/>
          <w:sz w:val="32"/>
          <w:szCs w:val="32"/>
        </w:rPr>
        <w:t>风险管控、修复期间，土壤污染责任人或其委托的专业机构参照《四川省建设用地土壤修复二次污染防控技术指南》要求采取措施，防止对地块及其周边环境造成二次污染。</w:t>
      </w:r>
    </w:p>
    <w:p>
      <w:pPr>
        <w:suppressAutoHyphens/>
        <w:overflowPunct w:val="0"/>
        <w:topLinePunct/>
        <w:snapToGrid w:val="0"/>
        <w:spacing w:line="600" w:lineRule="exact"/>
        <w:ind w:firstLine="640"/>
        <w:rPr>
          <w:rFonts w:cs="Times New Roman"/>
          <w:sz w:val="32"/>
          <w:szCs w:val="32"/>
        </w:rPr>
      </w:pPr>
      <w:r>
        <w:rPr>
          <w:rFonts w:cs="Times New Roman"/>
          <w:sz w:val="32"/>
          <w:szCs w:val="32"/>
        </w:rPr>
        <w:t>施工单位应当设立公告牌，公告牌的设置应符合《建设用地土壤污染风险管控和修复名录及修复施工相关信息公开工作指南》的要求。</w:t>
      </w:r>
    </w:p>
    <w:p>
      <w:pPr>
        <w:suppressAutoHyphens/>
        <w:overflowPunct w:val="0"/>
        <w:topLinePunct/>
        <w:snapToGrid w:val="0"/>
        <w:spacing w:line="600" w:lineRule="exact"/>
        <w:ind w:firstLine="643"/>
        <w:rPr>
          <w:rFonts w:cs="Times New Roman"/>
          <w:sz w:val="32"/>
          <w:szCs w:val="32"/>
        </w:rPr>
      </w:pPr>
      <w:r>
        <w:rPr>
          <w:rFonts w:cs="Times New Roman"/>
          <w:b/>
          <w:bCs/>
          <w:sz w:val="32"/>
          <w:szCs w:val="32"/>
        </w:rPr>
        <w:t>第二十</w:t>
      </w:r>
      <w:r>
        <w:rPr>
          <w:rFonts w:hint="eastAsia" w:cs="Times New Roman"/>
          <w:b/>
          <w:bCs/>
          <w:sz w:val="32"/>
          <w:szCs w:val="32"/>
        </w:rPr>
        <w:t>三</w:t>
      </w:r>
      <w:r>
        <w:rPr>
          <w:rFonts w:cs="Times New Roman"/>
          <w:b/>
          <w:bCs/>
          <w:sz w:val="32"/>
          <w:szCs w:val="32"/>
        </w:rPr>
        <w:t>条</w:t>
      </w:r>
      <w:r>
        <w:rPr>
          <w:rFonts w:hint="eastAsia" w:cs="Times New Roman"/>
          <w:sz w:val="32"/>
          <w:szCs w:val="32"/>
        </w:rPr>
        <w:t>　</w:t>
      </w:r>
      <w:r>
        <w:rPr>
          <w:rFonts w:cs="Times New Roman"/>
          <w:sz w:val="32"/>
          <w:szCs w:val="32"/>
        </w:rPr>
        <w:t>风险管控、修复原则上应当在原址进行</w:t>
      </w:r>
      <w:r>
        <w:rPr>
          <w:rFonts w:hint="eastAsia" w:cs="Times New Roman"/>
          <w:sz w:val="32"/>
          <w:szCs w:val="32"/>
        </w:rPr>
        <w:t>。</w:t>
      </w:r>
      <w:r>
        <w:rPr>
          <w:rFonts w:cs="Times New Roman"/>
          <w:sz w:val="32"/>
          <w:szCs w:val="32"/>
        </w:rPr>
        <w:t>确需转运污染土壤的，施工单位应建立管理台账，记录日清挖量、堆存量、堆存位置及转运量等信息，并将运输时间、方式、线路和污染土壤量、去向、最终处置措施等信息，提前5个工作日向所在地和接收地市级生态环境主管部门报告。</w:t>
      </w:r>
    </w:p>
    <w:p>
      <w:pPr>
        <w:suppressAutoHyphens/>
        <w:overflowPunct w:val="0"/>
        <w:topLinePunct/>
        <w:snapToGrid w:val="0"/>
        <w:spacing w:line="600" w:lineRule="exact"/>
        <w:ind w:firstLine="640"/>
        <w:rPr>
          <w:rFonts w:cs="Times New Roman"/>
          <w:sz w:val="32"/>
          <w:szCs w:val="32"/>
        </w:rPr>
      </w:pPr>
      <w:r>
        <w:rPr>
          <w:rFonts w:cs="Times New Roman"/>
          <w:sz w:val="32"/>
          <w:szCs w:val="32"/>
        </w:rPr>
        <w:t>转运的污染土壤属于危险废物的，施工单位应当依照相关法律法规和标准的要求进行转移、处置。</w:t>
      </w:r>
    </w:p>
    <w:p>
      <w:pPr>
        <w:suppressAutoHyphens/>
        <w:overflowPunct w:val="0"/>
        <w:topLinePunct/>
        <w:snapToGrid w:val="0"/>
        <w:spacing w:line="600" w:lineRule="exact"/>
        <w:ind w:firstLine="643"/>
        <w:rPr>
          <w:rFonts w:cs="Times New Roman"/>
          <w:sz w:val="32"/>
          <w:szCs w:val="32"/>
        </w:rPr>
      </w:pPr>
      <w:r>
        <w:rPr>
          <w:rFonts w:cs="Times New Roman"/>
          <w:b/>
          <w:bCs/>
          <w:sz w:val="32"/>
          <w:szCs w:val="32"/>
        </w:rPr>
        <w:t>第二十</w:t>
      </w:r>
      <w:r>
        <w:rPr>
          <w:rFonts w:hint="eastAsia" w:cs="Times New Roman"/>
          <w:b/>
          <w:bCs/>
          <w:sz w:val="32"/>
          <w:szCs w:val="32"/>
        </w:rPr>
        <w:t>四</w:t>
      </w:r>
      <w:r>
        <w:rPr>
          <w:rFonts w:cs="Times New Roman"/>
          <w:b/>
          <w:bCs/>
          <w:sz w:val="32"/>
          <w:szCs w:val="32"/>
        </w:rPr>
        <w:t>条</w:t>
      </w:r>
      <w:r>
        <w:rPr>
          <w:rFonts w:hint="eastAsia" w:cs="Times New Roman"/>
          <w:sz w:val="32"/>
          <w:szCs w:val="32"/>
        </w:rPr>
        <w:t>　土壤污染责任人在风险管控、修复开工前，按照有关规定委托监理单位对工程实施情况进行监理。</w:t>
      </w:r>
    </w:p>
    <w:p>
      <w:pPr>
        <w:suppressAutoHyphens/>
        <w:overflowPunct w:val="0"/>
        <w:topLinePunct/>
        <w:snapToGrid w:val="0"/>
        <w:spacing w:line="600" w:lineRule="exact"/>
        <w:ind w:firstLine="640"/>
        <w:rPr>
          <w:rFonts w:cs="Times New Roman"/>
          <w:sz w:val="32"/>
          <w:szCs w:val="32"/>
        </w:rPr>
      </w:pPr>
      <w:r>
        <w:rPr>
          <w:rFonts w:hint="eastAsia" w:cs="Times New Roman"/>
          <w:sz w:val="32"/>
          <w:szCs w:val="32"/>
        </w:rPr>
        <w:t>监理单位可采取视频、照片、文字等多种记录形式，建立过程记录和档案管理体系，对工程实施过程中的各项环境保护技术要求的落实情况进行监理，对发现的问题应及时提出监理要求并督促整改。风险管控、修复工程完成后，监理单位可编制监理工作报告。监理工作报告包含风险管控、修复范围、工程量核定、实际过程工艺参数、过程污染防治措施落实和污染土壤处置等内容。</w:t>
      </w:r>
    </w:p>
    <w:p>
      <w:pPr>
        <w:suppressAutoHyphens/>
        <w:overflowPunct w:val="0"/>
        <w:topLinePunct/>
        <w:snapToGrid w:val="0"/>
        <w:spacing w:line="600" w:lineRule="exact"/>
        <w:ind w:firstLine="643"/>
        <w:rPr>
          <w:rFonts w:cs="Times New Roman"/>
          <w:b/>
          <w:bCs/>
          <w:sz w:val="32"/>
          <w:szCs w:val="32"/>
        </w:rPr>
      </w:pPr>
      <w:r>
        <w:rPr>
          <w:rFonts w:cs="Times New Roman"/>
          <w:b/>
          <w:bCs/>
          <w:sz w:val="32"/>
          <w:szCs w:val="32"/>
        </w:rPr>
        <w:t>第</w:t>
      </w:r>
      <w:r>
        <w:rPr>
          <w:rFonts w:hint="eastAsia" w:cs="Times New Roman"/>
          <w:b/>
          <w:bCs/>
          <w:sz w:val="32"/>
          <w:szCs w:val="32"/>
        </w:rPr>
        <w:t>二十五</w:t>
      </w:r>
      <w:r>
        <w:rPr>
          <w:rFonts w:cs="Times New Roman"/>
          <w:b/>
          <w:bCs/>
          <w:sz w:val="32"/>
          <w:szCs w:val="32"/>
        </w:rPr>
        <w:t>条</w:t>
      </w:r>
      <w:r>
        <w:rPr>
          <w:rFonts w:hint="eastAsia" w:cs="Times New Roman"/>
          <w:b/>
          <w:bCs/>
          <w:sz w:val="32"/>
          <w:szCs w:val="32"/>
        </w:rPr>
        <w:t>　</w:t>
      </w:r>
      <w:r>
        <w:rPr>
          <w:rFonts w:cs="Times New Roman"/>
          <w:sz w:val="32"/>
          <w:szCs w:val="32"/>
        </w:rPr>
        <w:t>因实施风险管控、修复不当等原因，造成地块周边土壤、地表水、地下水或者大气污染等突发环境事件的，土壤污染责任人应当及时采取环境应急措施，并及时向</w:t>
      </w:r>
      <w:r>
        <w:rPr>
          <w:rFonts w:hint="eastAsia" w:cs="Times New Roman"/>
          <w:sz w:val="32"/>
          <w:szCs w:val="32"/>
        </w:rPr>
        <w:t>市级</w:t>
      </w:r>
      <w:r>
        <w:rPr>
          <w:rFonts w:cs="Times New Roman"/>
          <w:sz w:val="32"/>
          <w:szCs w:val="32"/>
        </w:rPr>
        <w:t>生态环境主管部门和其他有关部门报告。</w:t>
      </w:r>
    </w:p>
    <w:p>
      <w:pPr>
        <w:suppressAutoHyphens/>
        <w:overflowPunct w:val="0"/>
        <w:topLinePunct/>
        <w:snapToGrid w:val="0"/>
        <w:spacing w:line="600" w:lineRule="exact"/>
        <w:ind w:firstLine="643"/>
        <w:rPr>
          <w:rFonts w:cs="Times New Roman"/>
          <w:sz w:val="32"/>
          <w:szCs w:val="32"/>
        </w:rPr>
      </w:pPr>
      <w:r>
        <w:rPr>
          <w:rFonts w:cs="Times New Roman"/>
          <w:b/>
          <w:bCs/>
          <w:sz w:val="32"/>
          <w:szCs w:val="32"/>
        </w:rPr>
        <w:t>第</w:t>
      </w:r>
      <w:r>
        <w:rPr>
          <w:rFonts w:hint="eastAsia" w:cs="Times New Roman"/>
          <w:b/>
          <w:bCs/>
          <w:sz w:val="32"/>
          <w:szCs w:val="32"/>
        </w:rPr>
        <w:t>二十六</w:t>
      </w:r>
      <w:r>
        <w:rPr>
          <w:rFonts w:cs="Times New Roman"/>
          <w:b/>
          <w:bCs/>
          <w:sz w:val="32"/>
          <w:szCs w:val="32"/>
        </w:rPr>
        <w:t>条</w:t>
      </w:r>
      <w:r>
        <w:rPr>
          <w:rFonts w:hint="eastAsia" w:cs="Times New Roman"/>
          <w:sz w:val="32"/>
          <w:szCs w:val="32"/>
        </w:rPr>
        <w:t>　</w:t>
      </w:r>
      <w:r>
        <w:rPr>
          <w:rFonts w:cs="Times New Roman"/>
          <w:sz w:val="32"/>
          <w:szCs w:val="32"/>
        </w:rPr>
        <w:t>风险管控、修复完成后，土壤污染责任人应当另行委托其他具备相应专业能力的单位对风险管控效果、修复效果进行评估，编制风险管控效果评估报告、修复效果评估报告，及时上传</w:t>
      </w:r>
      <w:r>
        <w:rPr>
          <w:rFonts w:hint="eastAsia" w:cs="Times New Roman"/>
          <w:sz w:val="32"/>
          <w:szCs w:val="32"/>
        </w:rPr>
        <w:t>至</w:t>
      </w:r>
      <w:r>
        <w:rPr>
          <w:rFonts w:cs="Times New Roman"/>
          <w:sz w:val="32"/>
          <w:szCs w:val="32"/>
        </w:rPr>
        <w:t>建设用地信息管理系统，并报省级生态环境主管部门，由省级生态环境主管部门会同自然资源主管部门对风险管控效果评估报告、修复效果评估报告组织评审。</w:t>
      </w:r>
    </w:p>
    <w:p>
      <w:pPr>
        <w:suppressAutoHyphens/>
        <w:overflowPunct w:val="0"/>
        <w:topLinePunct/>
        <w:snapToGrid w:val="0"/>
        <w:spacing w:line="600" w:lineRule="exact"/>
        <w:ind w:firstLine="640"/>
        <w:rPr>
          <w:rFonts w:cs="Times New Roman"/>
          <w:sz w:val="32"/>
          <w:szCs w:val="32"/>
        </w:rPr>
      </w:pPr>
      <w:r>
        <w:rPr>
          <w:rFonts w:cs="Times New Roman"/>
          <w:sz w:val="32"/>
          <w:szCs w:val="32"/>
        </w:rPr>
        <w:t>土壤污染责任人、土地使用权人应当于评审通过后30个工作日内将风险管控效果评估报告、修复效果评估报告及时上传</w:t>
      </w:r>
      <w:r>
        <w:rPr>
          <w:rFonts w:hint="eastAsia" w:cs="Times New Roman"/>
          <w:sz w:val="32"/>
          <w:szCs w:val="32"/>
        </w:rPr>
        <w:t>至</w:t>
      </w:r>
      <w:r>
        <w:rPr>
          <w:rFonts w:cs="Times New Roman"/>
          <w:sz w:val="32"/>
          <w:szCs w:val="32"/>
        </w:rPr>
        <w:t>建设用地信息管理系统，向省级生态环境主管部门申请移出建设用地土壤污染风险管控和修复名录</w:t>
      </w:r>
      <w:r>
        <w:rPr>
          <w:rFonts w:hint="eastAsia" w:cs="Times New Roman"/>
          <w:sz w:val="32"/>
          <w:szCs w:val="32"/>
        </w:rPr>
        <w:t>。</w:t>
      </w:r>
    </w:p>
    <w:p>
      <w:pPr>
        <w:suppressAutoHyphens/>
        <w:overflowPunct w:val="0"/>
        <w:topLinePunct/>
        <w:snapToGrid w:val="0"/>
        <w:spacing w:line="620" w:lineRule="exact"/>
        <w:ind w:firstLine="643"/>
        <w:rPr>
          <w:rFonts w:cs="Times New Roman"/>
          <w:sz w:val="32"/>
          <w:szCs w:val="32"/>
        </w:rPr>
      </w:pPr>
      <w:r>
        <w:rPr>
          <w:rFonts w:cs="Times New Roman"/>
          <w:b/>
          <w:bCs/>
          <w:sz w:val="32"/>
          <w:szCs w:val="32"/>
        </w:rPr>
        <w:t>第</w:t>
      </w:r>
      <w:r>
        <w:rPr>
          <w:rFonts w:hint="eastAsia" w:cs="Times New Roman"/>
          <w:b/>
          <w:bCs/>
          <w:sz w:val="32"/>
          <w:szCs w:val="32"/>
        </w:rPr>
        <w:t>二十七</w:t>
      </w:r>
      <w:r>
        <w:rPr>
          <w:rFonts w:cs="Times New Roman"/>
          <w:b/>
          <w:bCs/>
          <w:sz w:val="32"/>
          <w:szCs w:val="32"/>
        </w:rPr>
        <w:t>条</w:t>
      </w:r>
      <w:r>
        <w:rPr>
          <w:rFonts w:hint="eastAsia" w:cs="Times New Roman"/>
          <w:sz w:val="32"/>
          <w:szCs w:val="32"/>
        </w:rPr>
        <w:t>　</w:t>
      </w:r>
      <w:r>
        <w:rPr>
          <w:rFonts w:cs="Times New Roman"/>
          <w:sz w:val="32"/>
          <w:szCs w:val="32"/>
        </w:rPr>
        <w:t>省级生态环境主管部门应当于评审后10个工作日内将风险管控效果评估报告评审信息、修复效果评估报告评审信息上传</w:t>
      </w:r>
      <w:r>
        <w:rPr>
          <w:rFonts w:hint="eastAsia" w:cs="Times New Roman"/>
          <w:sz w:val="32"/>
          <w:szCs w:val="32"/>
        </w:rPr>
        <w:t>至</w:t>
      </w:r>
      <w:r>
        <w:rPr>
          <w:rFonts w:cs="Times New Roman"/>
          <w:sz w:val="32"/>
          <w:szCs w:val="32"/>
        </w:rPr>
        <w:t>建设用地信息管理系统。</w:t>
      </w:r>
    </w:p>
    <w:p>
      <w:pPr>
        <w:suppressAutoHyphens/>
        <w:overflowPunct w:val="0"/>
        <w:topLinePunct/>
        <w:snapToGrid w:val="0"/>
        <w:spacing w:line="620" w:lineRule="exact"/>
        <w:ind w:firstLine="643"/>
        <w:rPr>
          <w:rFonts w:cs="Times New Roman"/>
          <w:sz w:val="32"/>
          <w:szCs w:val="32"/>
        </w:rPr>
      </w:pPr>
      <w:r>
        <w:rPr>
          <w:rFonts w:cs="Times New Roman"/>
          <w:b/>
          <w:bCs/>
          <w:sz w:val="32"/>
          <w:szCs w:val="32"/>
        </w:rPr>
        <w:t>第</w:t>
      </w:r>
      <w:r>
        <w:rPr>
          <w:rFonts w:hint="eastAsia" w:cs="Times New Roman"/>
          <w:b/>
          <w:bCs/>
          <w:sz w:val="32"/>
          <w:szCs w:val="32"/>
        </w:rPr>
        <w:t>二十八</w:t>
      </w:r>
      <w:r>
        <w:rPr>
          <w:rFonts w:cs="Times New Roman"/>
          <w:b/>
          <w:bCs/>
          <w:sz w:val="32"/>
          <w:szCs w:val="32"/>
        </w:rPr>
        <w:t>条</w:t>
      </w:r>
      <w:r>
        <w:rPr>
          <w:rFonts w:hint="eastAsia" w:cs="Times New Roman"/>
          <w:b/>
          <w:bCs/>
          <w:sz w:val="32"/>
          <w:szCs w:val="32"/>
        </w:rPr>
        <w:t>　</w:t>
      </w:r>
      <w:r>
        <w:rPr>
          <w:rFonts w:cs="Times New Roman"/>
          <w:sz w:val="32"/>
          <w:szCs w:val="32"/>
        </w:rPr>
        <w:t>省级生态环境主管部门应当会同自然资源主管部门，依据风险管控效果评估报告、修复效果评估报告评审意见，及时将达到土壤污染</w:t>
      </w:r>
      <w:r>
        <w:rPr>
          <w:rFonts w:hint="eastAsia" w:cs="Times New Roman"/>
          <w:sz w:val="32"/>
          <w:szCs w:val="32"/>
        </w:rPr>
        <w:t>状况详细调查和</w:t>
      </w:r>
      <w:r>
        <w:rPr>
          <w:rFonts w:cs="Times New Roman"/>
          <w:sz w:val="32"/>
          <w:szCs w:val="32"/>
        </w:rPr>
        <w:t>风险评估报告确定的风险管控、修复目标且可以安全利用的地块移出建设用地土壤污染风险管控和修复名录，按照规定向社会公开。</w:t>
      </w:r>
    </w:p>
    <w:p>
      <w:pPr>
        <w:suppressAutoHyphens/>
        <w:overflowPunct w:val="0"/>
        <w:topLinePunct/>
        <w:snapToGrid w:val="0"/>
        <w:spacing w:line="620" w:lineRule="exact"/>
        <w:ind w:firstLine="643"/>
        <w:rPr>
          <w:rFonts w:cs="Times New Roman"/>
          <w:sz w:val="32"/>
          <w:szCs w:val="32"/>
        </w:rPr>
      </w:pPr>
      <w:r>
        <w:rPr>
          <w:rFonts w:cs="Times New Roman"/>
          <w:b/>
          <w:bCs/>
          <w:sz w:val="32"/>
          <w:szCs w:val="32"/>
        </w:rPr>
        <w:t>第</w:t>
      </w:r>
      <w:r>
        <w:rPr>
          <w:rFonts w:hint="eastAsia" w:cs="Times New Roman"/>
          <w:b/>
          <w:bCs/>
          <w:sz w:val="32"/>
          <w:szCs w:val="32"/>
        </w:rPr>
        <w:t>二十九</w:t>
      </w:r>
      <w:r>
        <w:rPr>
          <w:rFonts w:cs="Times New Roman"/>
          <w:b/>
          <w:bCs/>
          <w:sz w:val="32"/>
          <w:szCs w:val="32"/>
        </w:rPr>
        <w:t>条</w:t>
      </w:r>
      <w:r>
        <w:rPr>
          <w:rFonts w:hint="eastAsia" w:cs="Times New Roman"/>
          <w:sz w:val="32"/>
          <w:szCs w:val="32"/>
        </w:rPr>
        <w:t>　</w:t>
      </w:r>
      <w:r>
        <w:rPr>
          <w:rFonts w:cs="Times New Roman"/>
          <w:sz w:val="32"/>
          <w:szCs w:val="32"/>
        </w:rPr>
        <w:t>风险管控效果评估、修复效果评估应按照国家和省有关环境标准和技术规范开展。风险管控效果评估报告、修复效果评估报告应当包括地块概况、地块概念模型、效果评估布点方案、生态环境措施落实情况、是否达到土壤污染</w:t>
      </w:r>
      <w:r>
        <w:rPr>
          <w:rFonts w:hint="eastAsia" w:cs="Times New Roman"/>
          <w:sz w:val="32"/>
          <w:szCs w:val="32"/>
        </w:rPr>
        <w:t>状况详细调查和</w:t>
      </w:r>
      <w:r>
        <w:rPr>
          <w:rFonts w:cs="Times New Roman"/>
          <w:sz w:val="32"/>
          <w:szCs w:val="32"/>
        </w:rPr>
        <w:t xml:space="preserve">风险评估报告确定的风险管控、修复目标且可以安全利用、后期环境监管建议等内容，并附具采样信息和检测报告。 </w:t>
      </w:r>
    </w:p>
    <w:p>
      <w:pPr>
        <w:suppressAutoHyphens/>
        <w:overflowPunct w:val="0"/>
        <w:topLinePunct/>
        <w:snapToGrid w:val="0"/>
        <w:spacing w:line="620" w:lineRule="exact"/>
        <w:ind w:firstLine="643"/>
        <w:rPr>
          <w:rFonts w:cs="Times New Roman"/>
          <w:sz w:val="32"/>
          <w:szCs w:val="32"/>
        </w:rPr>
      </w:pPr>
      <w:r>
        <w:rPr>
          <w:rFonts w:cs="Times New Roman"/>
          <w:b/>
          <w:bCs/>
          <w:sz w:val="32"/>
          <w:szCs w:val="32"/>
        </w:rPr>
        <w:t>第三十条</w:t>
      </w:r>
      <w:r>
        <w:rPr>
          <w:rFonts w:hint="eastAsia" w:cs="Times New Roman"/>
          <w:sz w:val="32"/>
          <w:szCs w:val="32"/>
        </w:rPr>
        <w:t>　</w:t>
      </w:r>
      <w:r>
        <w:rPr>
          <w:rFonts w:cs="Times New Roman"/>
          <w:sz w:val="32"/>
          <w:szCs w:val="32"/>
        </w:rPr>
        <w:t>风险管控、修复完成后，需要实施后期管理的，土壤污染责任人应当按照要求实施后期管理，编制后期管理计划，并报送市级生态环境主管部门。后期管理计划应当包含实施主体、环境监测计划、运行与维护措施、制度控制措施、应急预案、资金保障计划等内容。</w:t>
      </w:r>
    </w:p>
    <w:p>
      <w:pPr>
        <w:suppressAutoHyphens/>
        <w:overflowPunct w:val="0"/>
        <w:topLinePunct/>
        <w:adjustRightInd w:val="0"/>
        <w:snapToGrid w:val="0"/>
        <w:spacing w:line="600" w:lineRule="exact"/>
        <w:ind w:firstLine="0" w:firstLineChars="0"/>
        <w:jc w:val="center"/>
        <w:outlineLvl w:val="0"/>
        <w:rPr>
          <w:rFonts w:eastAsia="黑体" w:cs="Times New Roman"/>
          <w:bCs/>
          <w:kern w:val="44"/>
          <w:sz w:val="32"/>
          <w:szCs w:val="32"/>
        </w:rPr>
      </w:pPr>
      <w:r>
        <w:rPr>
          <w:rFonts w:eastAsia="黑体" w:cs="Times New Roman"/>
          <w:bCs/>
          <w:kern w:val="44"/>
          <w:sz w:val="32"/>
          <w:szCs w:val="32"/>
        </w:rPr>
        <w:t>第五章  监督管理</w:t>
      </w:r>
    </w:p>
    <w:p>
      <w:pPr>
        <w:suppressAutoHyphens/>
        <w:overflowPunct w:val="0"/>
        <w:topLinePunct/>
        <w:snapToGrid w:val="0"/>
        <w:spacing w:line="600" w:lineRule="exact"/>
        <w:ind w:firstLine="643"/>
        <w:rPr>
          <w:rFonts w:cs="Times New Roman"/>
          <w:sz w:val="32"/>
          <w:szCs w:val="32"/>
        </w:rPr>
      </w:pPr>
      <w:r>
        <w:rPr>
          <w:rFonts w:cs="Times New Roman"/>
          <w:b/>
          <w:bCs/>
          <w:sz w:val="32"/>
          <w:szCs w:val="32"/>
        </w:rPr>
        <w:t>第三十</w:t>
      </w:r>
      <w:r>
        <w:rPr>
          <w:rFonts w:hint="eastAsia" w:cs="Times New Roman"/>
          <w:b/>
          <w:bCs/>
          <w:sz w:val="32"/>
          <w:szCs w:val="32"/>
        </w:rPr>
        <w:t>一</w:t>
      </w:r>
      <w:r>
        <w:rPr>
          <w:rFonts w:cs="Times New Roman"/>
          <w:b/>
          <w:bCs/>
          <w:sz w:val="32"/>
          <w:szCs w:val="32"/>
        </w:rPr>
        <w:t>条</w:t>
      </w:r>
      <w:r>
        <w:rPr>
          <w:rFonts w:hint="eastAsia" w:cs="Times New Roman"/>
          <w:b/>
          <w:bCs/>
          <w:sz w:val="32"/>
          <w:szCs w:val="32"/>
        </w:rPr>
        <w:t>　</w:t>
      </w:r>
      <w:r>
        <w:rPr>
          <w:rFonts w:cs="Times New Roman"/>
          <w:sz w:val="32"/>
          <w:szCs w:val="32"/>
        </w:rPr>
        <w:t>各级生态环境主管部门会同自然资源等主管部门建立和完善建设用地信息共享和沟通协调机制，充分应用建设用地信息管理系统实施联动监管。</w:t>
      </w:r>
    </w:p>
    <w:p>
      <w:pPr>
        <w:suppressAutoHyphens/>
        <w:overflowPunct w:val="0"/>
        <w:topLinePunct/>
        <w:snapToGrid w:val="0"/>
        <w:spacing w:line="600" w:lineRule="exact"/>
        <w:ind w:firstLine="640"/>
        <w:rPr>
          <w:rFonts w:cs="Times New Roman"/>
          <w:sz w:val="32"/>
          <w:szCs w:val="32"/>
        </w:rPr>
      </w:pPr>
      <w:r>
        <w:rPr>
          <w:rFonts w:cs="Times New Roman"/>
          <w:sz w:val="32"/>
          <w:szCs w:val="32"/>
        </w:rPr>
        <w:t>未达到土壤污染</w:t>
      </w:r>
      <w:r>
        <w:rPr>
          <w:rFonts w:hint="eastAsia" w:cs="Times New Roman"/>
          <w:sz w:val="32"/>
          <w:szCs w:val="32"/>
        </w:rPr>
        <w:t>状况详细调查和</w:t>
      </w:r>
      <w:r>
        <w:rPr>
          <w:rFonts w:cs="Times New Roman"/>
          <w:sz w:val="32"/>
          <w:szCs w:val="32"/>
        </w:rPr>
        <w:t>风险评估报告确定的风险管控、修复目标的建设用地地块，禁止开工建设任何与风险管控、修复无关的项目。</w:t>
      </w:r>
    </w:p>
    <w:p>
      <w:pPr>
        <w:suppressAutoHyphens/>
        <w:overflowPunct w:val="0"/>
        <w:topLinePunct/>
        <w:snapToGrid w:val="0"/>
        <w:spacing w:line="600" w:lineRule="exact"/>
        <w:ind w:firstLine="643"/>
        <w:rPr>
          <w:rFonts w:cs="Times New Roman"/>
          <w:sz w:val="32"/>
          <w:szCs w:val="32"/>
        </w:rPr>
      </w:pPr>
      <w:r>
        <w:rPr>
          <w:rFonts w:cs="Times New Roman"/>
          <w:b/>
          <w:bCs/>
          <w:sz w:val="32"/>
          <w:szCs w:val="32"/>
        </w:rPr>
        <w:t>第三十</w:t>
      </w:r>
      <w:r>
        <w:rPr>
          <w:rFonts w:hint="eastAsia" w:cs="Times New Roman"/>
          <w:b/>
          <w:bCs/>
          <w:sz w:val="32"/>
          <w:szCs w:val="32"/>
        </w:rPr>
        <w:t>二</w:t>
      </w:r>
      <w:r>
        <w:rPr>
          <w:rFonts w:cs="Times New Roman"/>
          <w:b/>
          <w:bCs/>
          <w:sz w:val="32"/>
          <w:szCs w:val="32"/>
        </w:rPr>
        <w:t>条</w:t>
      </w:r>
      <w:r>
        <w:rPr>
          <w:rFonts w:hint="eastAsia" w:cs="Times New Roman"/>
          <w:sz w:val="32"/>
          <w:szCs w:val="32"/>
        </w:rPr>
        <w:t>　</w:t>
      </w:r>
      <w:r>
        <w:rPr>
          <w:rFonts w:cs="Times New Roman"/>
          <w:sz w:val="32"/>
          <w:szCs w:val="32"/>
        </w:rPr>
        <w:t>生态环境、自然资源主管部门应按要求开展重点建设用地安全利用率核算工作，确保建设用地符合土壤环境质量要求，有效管控建设用地土壤污染风险，保障重点建设用地安全利用。</w:t>
      </w:r>
    </w:p>
    <w:p>
      <w:pPr>
        <w:suppressAutoHyphens/>
        <w:overflowPunct w:val="0"/>
        <w:topLinePunct/>
        <w:snapToGrid w:val="0"/>
        <w:spacing w:line="600" w:lineRule="exact"/>
        <w:ind w:firstLine="643"/>
        <w:rPr>
          <w:rFonts w:cs="Times New Roman"/>
          <w:sz w:val="32"/>
          <w:szCs w:val="32"/>
        </w:rPr>
      </w:pPr>
      <w:r>
        <w:rPr>
          <w:rFonts w:cs="Times New Roman"/>
          <w:b/>
          <w:bCs/>
          <w:sz w:val="32"/>
          <w:szCs w:val="32"/>
        </w:rPr>
        <w:t>第三十</w:t>
      </w:r>
      <w:r>
        <w:rPr>
          <w:rFonts w:hint="eastAsia" w:cs="Times New Roman"/>
          <w:b/>
          <w:bCs/>
          <w:sz w:val="32"/>
          <w:szCs w:val="32"/>
        </w:rPr>
        <w:t>三</w:t>
      </w:r>
      <w:r>
        <w:rPr>
          <w:rFonts w:cs="Times New Roman"/>
          <w:b/>
          <w:bCs/>
          <w:sz w:val="32"/>
          <w:szCs w:val="32"/>
        </w:rPr>
        <w:t>条</w:t>
      </w:r>
      <w:r>
        <w:rPr>
          <w:rFonts w:hint="eastAsia" w:eastAsia="黑体" w:cs="Times New Roman"/>
          <w:sz w:val="32"/>
          <w:szCs w:val="32"/>
        </w:rPr>
        <w:t>　</w:t>
      </w:r>
      <w:r>
        <w:rPr>
          <w:rFonts w:cs="Times New Roman"/>
          <w:sz w:val="32"/>
          <w:szCs w:val="32"/>
        </w:rPr>
        <w:t>生态环境主管部门应按照国家《建设用地土壤污染状况初步调查监督检查工作指南（试行）》《建设用地土壤污染状况调查质量控制技术规定（试行）》和省有关要求，开展土壤污染状况初步调查监督检查。</w:t>
      </w:r>
    </w:p>
    <w:p>
      <w:pPr>
        <w:suppressAutoHyphens/>
        <w:overflowPunct w:val="0"/>
        <w:topLinePunct/>
        <w:snapToGrid w:val="0"/>
        <w:spacing w:line="600" w:lineRule="exact"/>
        <w:ind w:firstLine="643"/>
        <w:rPr>
          <w:rFonts w:cs="Times New Roman"/>
          <w:sz w:val="32"/>
          <w:szCs w:val="32"/>
        </w:rPr>
      </w:pPr>
      <w:r>
        <w:rPr>
          <w:rFonts w:cs="Times New Roman"/>
          <w:b/>
          <w:bCs/>
          <w:sz w:val="32"/>
          <w:szCs w:val="32"/>
        </w:rPr>
        <w:t>第</w:t>
      </w:r>
      <w:r>
        <w:rPr>
          <w:rFonts w:hint="eastAsia" w:cs="Times New Roman"/>
          <w:b/>
          <w:bCs/>
          <w:sz w:val="32"/>
          <w:szCs w:val="32"/>
        </w:rPr>
        <w:t>三十四</w:t>
      </w:r>
      <w:r>
        <w:rPr>
          <w:rFonts w:cs="Times New Roman"/>
          <w:b/>
          <w:bCs/>
          <w:sz w:val="32"/>
          <w:szCs w:val="32"/>
        </w:rPr>
        <w:t>条</w:t>
      </w:r>
      <w:r>
        <w:rPr>
          <w:rFonts w:hint="eastAsia" w:cs="Times New Roman"/>
          <w:sz w:val="32"/>
          <w:szCs w:val="32"/>
        </w:rPr>
        <w:t>　</w:t>
      </w:r>
      <w:r>
        <w:rPr>
          <w:rFonts w:cs="Times New Roman"/>
          <w:sz w:val="32"/>
          <w:szCs w:val="32"/>
        </w:rPr>
        <w:t>生态环境、自然资源等负有建设用地土壤生态环境监督管理职责的主管部门，有权对本行政区域内的建设用地土壤污染防治情况进行现场检查。被检查单位应当予以配合，如实反映情况，提供必要的资料。实施现场检查的部门、机构及其工作人员应当为被检查单位保守商业秘密。</w:t>
      </w:r>
    </w:p>
    <w:p>
      <w:pPr>
        <w:suppressAutoHyphens/>
        <w:overflowPunct w:val="0"/>
        <w:topLinePunct/>
        <w:snapToGrid w:val="0"/>
        <w:spacing w:line="600" w:lineRule="exact"/>
        <w:ind w:firstLine="643"/>
        <w:rPr>
          <w:rFonts w:cs="Times New Roman"/>
          <w:sz w:val="32"/>
          <w:szCs w:val="32"/>
        </w:rPr>
      </w:pPr>
      <w:r>
        <w:rPr>
          <w:rFonts w:cs="Times New Roman"/>
          <w:b/>
          <w:bCs/>
          <w:sz w:val="32"/>
          <w:szCs w:val="32"/>
        </w:rPr>
        <w:t>第</w:t>
      </w:r>
      <w:r>
        <w:rPr>
          <w:rFonts w:hint="eastAsia" w:cs="Times New Roman"/>
          <w:b/>
          <w:bCs/>
          <w:sz w:val="32"/>
          <w:szCs w:val="32"/>
        </w:rPr>
        <w:t>三十五</w:t>
      </w:r>
      <w:r>
        <w:rPr>
          <w:rFonts w:cs="Times New Roman"/>
          <w:b/>
          <w:bCs/>
          <w:sz w:val="32"/>
          <w:szCs w:val="32"/>
        </w:rPr>
        <w:t>条</w:t>
      </w:r>
      <w:r>
        <w:rPr>
          <w:rFonts w:hint="eastAsia" w:cs="Times New Roman"/>
          <w:sz w:val="32"/>
          <w:szCs w:val="32"/>
        </w:rPr>
        <w:t>　</w:t>
      </w:r>
      <w:r>
        <w:rPr>
          <w:rFonts w:cs="Times New Roman"/>
          <w:sz w:val="32"/>
          <w:szCs w:val="32"/>
        </w:rPr>
        <w:t>生态环境、自然资源等负有建设用地土壤生态环境监督管理职责的主管部门对土壤污染风险管控和修复工作进行监督检查时，有权采取下列措施：</w:t>
      </w:r>
    </w:p>
    <w:p>
      <w:pPr>
        <w:suppressAutoHyphens/>
        <w:overflowPunct w:val="0"/>
        <w:topLinePunct/>
        <w:snapToGrid w:val="0"/>
        <w:spacing w:line="600" w:lineRule="exact"/>
        <w:ind w:firstLine="640"/>
        <w:rPr>
          <w:rFonts w:cs="Times New Roman"/>
          <w:sz w:val="32"/>
          <w:szCs w:val="32"/>
        </w:rPr>
      </w:pPr>
      <w:r>
        <w:rPr>
          <w:rFonts w:cs="Times New Roman"/>
          <w:sz w:val="32"/>
          <w:szCs w:val="32"/>
        </w:rPr>
        <w:t>（一）向被检查单位调查、了解建设用地的有关情况；</w:t>
      </w:r>
    </w:p>
    <w:p>
      <w:pPr>
        <w:suppressAutoHyphens/>
        <w:overflowPunct w:val="0"/>
        <w:topLinePunct/>
        <w:snapToGrid w:val="0"/>
        <w:spacing w:line="600" w:lineRule="exact"/>
        <w:ind w:firstLine="640"/>
        <w:rPr>
          <w:rFonts w:cs="Times New Roman"/>
          <w:sz w:val="32"/>
          <w:szCs w:val="32"/>
        </w:rPr>
      </w:pPr>
      <w:r>
        <w:rPr>
          <w:rFonts w:cs="Times New Roman"/>
          <w:sz w:val="32"/>
          <w:szCs w:val="32"/>
        </w:rPr>
        <w:t>（二）进入被检查单位进行现场核查或者监测；</w:t>
      </w:r>
    </w:p>
    <w:p>
      <w:pPr>
        <w:suppressAutoHyphens/>
        <w:overflowPunct w:val="0"/>
        <w:topLinePunct/>
        <w:snapToGrid w:val="0"/>
        <w:spacing w:line="600" w:lineRule="exact"/>
        <w:ind w:firstLine="640"/>
        <w:rPr>
          <w:rFonts w:cs="Times New Roman"/>
          <w:sz w:val="32"/>
          <w:szCs w:val="32"/>
        </w:rPr>
      </w:pPr>
      <w:r>
        <w:rPr>
          <w:rFonts w:cs="Times New Roman"/>
          <w:sz w:val="32"/>
          <w:szCs w:val="32"/>
        </w:rPr>
        <w:t>（三）查阅、复制相关文件、记录以及其他有关资料；</w:t>
      </w:r>
    </w:p>
    <w:p>
      <w:pPr>
        <w:suppressAutoHyphens/>
        <w:overflowPunct w:val="0"/>
        <w:topLinePunct/>
        <w:snapToGrid w:val="0"/>
        <w:spacing w:line="600" w:lineRule="exact"/>
        <w:ind w:firstLine="640"/>
        <w:rPr>
          <w:rFonts w:cs="Times New Roman"/>
          <w:sz w:val="32"/>
          <w:szCs w:val="32"/>
        </w:rPr>
      </w:pPr>
      <w:r>
        <w:rPr>
          <w:rFonts w:cs="Times New Roman"/>
          <w:sz w:val="32"/>
          <w:szCs w:val="32"/>
        </w:rPr>
        <w:t>（四）要求被检查单位提交有关情况说明。</w:t>
      </w:r>
    </w:p>
    <w:p>
      <w:pPr>
        <w:suppressAutoHyphens/>
        <w:overflowPunct w:val="0"/>
        <w:topLinePunct/>
        <w:snapToGrid w:val="0"/>
        <w:spacing w:line="600" w:lineRule="exact"/>
        <w:ind w:firstLine="643"/>
        <w:rPr>
          <w:rFonts w:cs="Times New Roman"/>
          <w:sz w:val="32"/>
          <w:szCs w:val="32"/>
        </w:rPr>
      </w:pPr>
      <w:r>
        <w:rPr>
          <w:rFonts w:cs="Times New Roman"/>
          <w:b/>
          <w:bCs/>
          <w:sz w:val="32"/>
          <w:szCs w:val="32"/>
        </w:rPr>
        <w:t>第</w:t>
      </w:r>
      <w:r>
        <w:rPr>
          <w:rFonts w:hint="eastAsia" w:cs="Times New Roman"/>
          <w:b/>
          <w:bCs/>
          <w:sz w:val="32"/>
          <w:szCs w:val="32"/>
        </w:rPr>
        <w:t>三十六</w:t>
      </w:r>
      <w:r>
        <w:rPr>
          <w:rFonts w:cs="Times New Roman"/>
          <w:b/>
          <w:bCs/>
          <w:sz w:val="32"/>
          <w:szCs w:val="32"/>
        </w:rPr>
        <w:t>条</w:t>
      </w:r>
      <w:r>
        <w:rPr>
          <w:rFonts w:hint="eastAsia" w:cs="Times New Roman"/>
          <w:b/>
          <w:bCs/>
          <w:sz w:val="32"/>
          <w:szCs w:val="32"/>
        </w:rPr>
        <w:t>　</w:t>
      </w:r>
      <w:r>
        <w:rPr>
          <w:rFonts w:hint="eastAsia" w:cs="Times New Roman"/>
          <w:sz w:val="32"/>
          <w:szCs w:val="32"/>
        </w:rPr>
        <w:t>违反本办法规定，土壤污染责任人、土地使用权人未按要求开展土壤污染风险管控和修复工作的，由生态环境主管部门或者其他负有土壤污染防治监督管理职责的部门依照相关法律法规查处。</w:t>
      </w:r>
    </w:p>
    <w:p>
      <w:pPr>
        <w:suppressAutoHyphens/>
        <w:overflowPunct w:val="0"/>
        <w:topLinePunct/>
        <w:adjustRightInd w:val="0"/>
        <w:snapToGrid w:val="0"/>
        <w:spacing w:line="600" w:lineRule="exact"/>
        <w:ind w:firstLine="643"/>
        <w:outlineLvl w:val="0"/>
        <w:rPr>
          <w:rFonts w:cs="Times New Roman"/>
          <w:b/>
          <w:bCs/>
          <w:sz w:val="32"/>
          <w:szCs w:val="32"/>
        </w:rPr>
      </w:pPr>
      <w:r>
        <w:rPr>
          <w:rFonts w:cs="Times New Roman"/>
          <w:b/>
          <w:bCs/>
          <w:sz w:val="32"/>
          <w:szCs w:val="32"/>
        </w:rPr>
        <w:t>第</w:t>
      </w:r>
      <w:r>
        <w:rPr>
          <w:rFonts w:hint="eastAsia" w:cs="Times New Roman"/>
          <w:b/>
          <w:bCs/>
          <w:sz w:val="32"/>
          <w:szCs w:val="32"/>
        </w:rPr>
        <w:t>三十七</w:t>
      </w:r>
      <w:r>
        <w:rPr>
          <w:rFonts w:cs="Times New Roman"/>
          <w:b/>
          <w:bCs/>
          <w:sz w:val="32"/>
          <w:szCs w:val="32"/>
        </w:rPr>
        <w:t>条</w:t>
      </w:r>
      <w:r>
        <w:rPr>
          <w:rFonts w:hint="eastAsia" w:cs="Times New Roman"/>
          <w:b/>
          <w:bCs/>
          <w:sz w:val="32"/>
          <w:szCs w:val="32"/>
        </w:rPr>
        <w:t>　</w:t>
      </w:r>
      <w:r>
        <w:rPr>
          <w:rFonts w:cs="Times New Roman"/>
          <w:sz w:val="32"/>
          <w:szCs w:val="32"/>
        </w:rPr>
        <w:t>违反本办法规定，受委托的专业机构在开展土壤污染风险管控和修复工作时，弄虚作假或者造成环境污染、生态破坏的，应承担相应的法律责任。</w:t>
      </w:r>
    </w:p>
    <w:p>
      <w:pPr>
        <w:suppressAutoHyphens/>
        <w:overflowPunct w:val="0"/>
        <w:topLinePunct/>
        <w:adjustRightInd w:val="0"/>
        <w:snapToGrid w:val="0"/>
        <w:spacing w:line="600" w:lineRule="exact"/>
        <w:ind w:firstLine="0" w:firstLineChars="0"/>
        <w:jc w:val="center"/>
        <w:outlineLvl w:val="0"/>
        <w:rPr>
          <w:rFonts w:eastAsia="黑体" w:cs="Times New Roman"/>
          <w:bCs/>
          <w:kern w:val="44"/>
          <w:sz w:val="32"/>
          <w:szCs w:val="32"/>
        </w:rPr>
      </w:pPr>
    </w:p>
    <w:p>
      <w:pPr>
        <w:suppressAutoHyphens/>
        <w:overflowPunct w:val="0"/>
        <w:topLinePunct/>
        <w:adjustRightInd w:val="0"/>
        <w:snapToGrid w:val="0"/>
        <w:spacing w:line="600" w:lineRule="exact"/>
        <w:ind w:firstLine="0" w:firstLineChars="0"/>
        <w:jc w:val="center"/>
        <w:outlineLvl w:val="0"/>
        <w:rPr>
          <w:rFonts w:eastAsia="黑体" w:cs="Times New Roman"/>
          <w:bCs/>
          <w:kern w:val="44"/>
          <w:sz w:val="32"/>
          <w:szCs w:val="32"/>
        </w:rPr>
      </w:pPr>
      <w:r>
        <w:rPr>
          <w:rFonts w:eastAsia="黑体" w:cs="Times New Roman"/>
          <w:bCs/>
          <w:kern w:val="44"/>
          <w:sz w:val="32"/>
          <w:szCs w:val="32"/>
        </w:rPr>
        <w:t>第六章  附则</w:t>
      </w:r>
    </w:p>
    <w:p>
      <w:pPr>
        <w:pStyle w:val="17"/>
        <w:overflowPunct w:val="0"/>
        <w:topLinePunct/>
        <w:autoSpaceDE/>
        <w:autoSpaceDN/>
        <w:spacing w:line="600" w:lineRule="exact"/>
        <w:ind w:firstLine="643"/>
        <w:jc w:val="both"/>
        <w:rPr>
          <w:rFonts w:ascii="Times New Roman" w:hAnsi="Times New Roman" w:cs="Times New Roman"/>
          <w:kern w:val="2"/>
          <w:sz w:val="32"/>
          <w:szCs w:val="32"/>
          <w:lang w:eastAsia="zh-CN"/>
        </w:rPr>
      </w:pPr>
      <w:r>
        <w:rPr>
          <w:rFonts w:ascii="Times New Roman" w:hAnsi="Times New Roman" w:cs="Times New Roman"/>
          <w:b/>
          <w:bCs/>
          <w:kern w:val="2"/>
          <w:sz w:val="32"/>
          <w:szCs w:val="32"/>
          <w:lang w:eastAsia="zh-CN"/>
        </w:rPr>
        <w:t>第</w:t>
      </w:r>
      <w:r>
        <w:rPr>
          <w:rFonts w:hint="eastAsia" w:ascii="Times New Roman" w:hAnsi="Times New Roman" w:cs="Times New Roman"/>
          <w:b/>
          <w:bCs/>
          <w:kern w:val="2"/>
          <w:sz w:val="32"/>
          <w:szCs w:val="32"/>
          <w:lang w:eastAsia="zh-CN"/>
        </w:rPr>
        <w:t>三十八</w:t>
      </w:r>
      <w:r>
        <w:rPr>
          <w:rFonts w:ascii="Times New Roman" w:hAnsi="Times New Roman" w:cs="Times New Roman"/>
          <w:b/>
          <w:bCs/>
          <w:kern w:val="2"/>
          <w:sz w:val="32"/>
          <w:szCs w:val="32"/>
          <w:lang w:eastAsia="zh-CN"/>
        </w:rPr>
        <w:t>条</w:t>
      </w:r>
      <w:r>
        <w:rPr>
          <w:rFonts w:hint="eastAsia" w:ascii="Times New Roman" w:hAnsi="Times New Roman" w:cs="Times New Roman"/>
          <w:kern w:val="2"/>
          <w:sz w:val="32"/>
          <w:szCs w:val="32"/>
          <w:lang w:eastAsia="zh-CN"/>
        </w:rPr>
        <w:t>　</w:t>
      </w:r>
      <w:r>
        <w:rPr>
          <w:rFonts w:ascii="Times New Roman" w:hAnsi="Times New Roman" w:cs="Times New Roman"/>
          <w:kern w:val="2"/>
          <w:sz w:val="32"/>
          <w:szCs w:val="32"/>
          <w:lang w:eastAsia="zh-CN"/>
        </w:rPr>
        <w:t>本办法自</w:t>
      </w:r>
      <w:r>
        <w:rPr>
          <w:rFonts w:hint="eastAsia" w:ascii="Times New Roman" w:hAnsi="Times New Roman" w:cs="Times New Roman"/>
          <w:kern w:val="2"/>
          <w:sz w:val="32"/>
          <w:szCs w:val="32"/>
          <w:lang w:eastAsia="zh-CN"/>
        </w:rPr>
        <w:t>2024年2月1日</w:t>
      </w:r>
      <w:r>
        <w:rPr>
          <w:rFonts w:ascii="Times New Roman" w:hAnsi="Times New Roman" w:cs="Times New Roman"/>
          <w:kern w:val="2"/>
          <w:sz w:val="32"/>
          <w:szCs w:val="32"/>
          <w:lang w:eastAsia="zh-CN"/>
        </w:rPr>
        <w:t>起施行</w:t>
      </w:r>
      <w:r>
        <w:rPr>
          <w:rFonts w:hint="eastAsia" w:ascii="Times New Roman" w:hAnsi="Times New Roman" w:cs="Times New Roman"/>
          <w:kern w:val="2"/>
          <w:sz w:val="32"/>
          <w:szCs w:val="32"/>
          <w:lang w:eastAsia="zh-CN"/>
        </w:rPr>
        <w:t>，有效期5年</w:t>
      </w:r>
      <w:r>
        <w:rPr>
          <w:rFonts w:ascii="Times New Roman" w:hAnsi="Times New Roman" w:cs="Times New Roman"/>
          <w:kern w:val="2"/>
          <w:sz w:val="32"/>
          <w:szCs w:val="32"/>
          <w:lang w:eastAsia="zh-CN"/>
        </w:rPr>
        <w:t>。四川省生态环境厅 四川省经济和信息化厅 四川省自然资源厅 四川省住房和城乡建设厅《关于印发</w:t>
      </w:r>
      <w:r>
        <w:rPr>
          <w:rFonts w:hint="eastAsia" w:ascii="Times New Roman" w:hAnsi="Times New Roman" w:cs="Times New Roman"/>
          <w:kern w:val="2"/>
          <w:sz w:val="32"/>
          <w:szCs w:val="32"/>
          <w:lang w:eastAsia="zh-CN"/>
        </w:rPr>
        <w:t>〈</w:t>
      </w:r>
      <w:r>
        <w:rPr>
          <w:rFonts w:ascii="Times New Roman" w:hAnsi="Times New Roman" w:cs="Times New Roman"/>
          <w:kern w:val="2"/>
          <w:sz w:val="32"/>
          <w:szCs w:val="32"/>
          <w:lang w:eastAsia="zh-CN"/>
        </w:rPr>
        <w:t>四川省污染地块土壤环境管理办法</w:t>
      </w:r>
      <w:r>
        <w:rPr>
          <w:rFonts w:hint="eastAsia" w:ascii="Times New Roman" w:hAnsi="Times New Roman" w:cs="Times New Roman"/>
          <w:kern w:val="2"/>
          <w:sz w:val="32"/>
          <w:szCs w:val="32"/>
          <w:lang w:eastAsia="zh-CN"/>
        </w:rPr>
        <w:t>〉</w:t>
      </w:r>
      <w:r>
        <w:rPr>
          <w:rFonts w:ascii="Times New Roman" w:hAnsi="Times New Roman" w:cs="Times New Roman"/>
          <w:kern w:val="2"/>
          <w:sz w:val="32"/>
          <w:szCs w:val="32"/>
          <w:lang w:eastAsia="zh-CN"/>
        </w:rPr>
        <w:t>的通知》</w:t>
      </w:r>
      <w:r>
        <w:rPr>
          <w:rFonts w:hint="eastAsia" w:ascii="Times New Roman" w:hAnsi="Times New Roman" w:cs="Times New Roman"/>
          <w:kern w:val="2"/>
          <w:sz w:val="32"/>
          <w:szCs w:val="32"/>
          <w:lang w:eastAsia="zh-CN"/>
        </w:rPr>
        <w:t>（</w:t>
      </w:r>
      <w:r>
        <w:rPr>
          <w:rFonts w:ascii="Times New Roman" w:hAnsi="Times New Roman" w:cs="Times New Roman"/>
          <w:kern w:val="2"/>
          <w:sz w:val="32"/>
          <w:szCs w:val="32"/>
          <w:lang w:eastAsia="zh-CN"/>
        </w:rPr>
        <w:t>川环发〔2018〕90号</w:t>
      </w:r>
      <w:r>
        <w:rPr>
          <w:rFonts w:hint="eastAsia" w:ascii="Times New Roman" w:hAnsi="Times New Roman" w:cs="Times New Roman"/>
          <w:kern w:val="2"/>
          <w:sz w:val="32"/>
          <w:szCs w:val="32"/>
          <w:lang w:eastAsia="zh-CN"/>
        </w:rPr>
        <w:t>）</w:t>
      </w:r>
      <w:r>
        <w:rPr>
          <w:rFonts w:ascii="Times New Roman" w:hAnsi="Times New Roman" w:cs="Times New Roman"/>
          <w:kern w:val="2"/>
          <w:sz w:val="32"/>
          <w:szCs w:val="32"/>
          <w:lang w:eastAsia="zh-CN"/>
        </w:rPr>
        <w:t>同时废止。</w:t>
      </w:r>
      <w:bookmarkEnd w:id="1"/>
      <w:bookmarkEnd w:id="2"/>
      <w:bookmarkEnd w:id="3"/>
      <w:bookmarkEnd w:id="4"/>
      <w:bookmarkEnd w:id="5"/>
    </w:p>
    <w:p>
      <w:pPr>
        <w:overflowPunct w:val="0"/>
        <w:topLinePunct/>
        <w:spacing w:line="600" w:lineRule="exact"/>
        <w:ind w:firstLine="0" w:firstLineChars="0"/>
        <w:jc w:val="left"/>
        <w:rPr>
          <w:rFonts w:cs="Times New Roman"/>
          <w:b/>
          <w:sz w:val="44"/>
          <w:szCs w:val="44"/>
        </w:rPr>
      </w:pPr>
      <w:r>
        <w:rPr>
          <w:rFonts w:ascii="Times New Roman" w:hAnsi="Times New Roman" w:cs="Times New Roman"/>
          <w:b/>
          <w:sz w:val="44"/>
          <w:szCs w:val="44"/>
        </w:rPr>
        <mc:AlternateContent>
          <mc:Choice Requires="wps">
            <w:drawing>
              <wp:anchor distT="0" distB="0" distL="114300" distR="114300" simplePos="0" relativeHeight="251660288" behindDoc="0" locked="0" layoutInCell="1" allowOverlap="1">
                <wp:simplePos x="0" y="0"/>
                <wp:positionH relativeFrom="column">
                  <wp:posOffset>4468495</wp:posOffset>
                </wp:positionH>
                <wp:positionV relativeFrom="paragraph">
                  <wp:posOffset>8126095</wp:posOffset>
                </wp:positionV>
                <wp:extent cx="1066800" cy="476250"/>
                <wp:effectExtent l="5080" t="4445" r="13970" b="14605"/>
                <wp:wrapNone/>
                <wp:docPr id="1" name="矩形 3"/>
                <wp:cNvGraphicFramePr/>
                <a:graphic xmlns:a="http://schemas.openxmlformats.org/drawingml/2006/main">
                  <a:graphicData uri="http://schemas.microsoft.com/office/word/2010/wordprocessingShape">
                    <wps:wsp>
                      <wps:cNvSpPr/>
                      <wps:spPr>
                        <a:xfrm>
                          <a:off x="0" y="0"/>
                          <a:ext cx="1066800" cy="476250"/>
                        </a:xfrm>
                        <a:prstGeom prst="rect">
                          <a:avLst/>
                        </a:prstGeom>
                        <a:solidFill>
                          <a:srgbClr val="FFFFFF"/>
                        </a:solidFill>
                        <a:ln w="9525" cap="flat" cmpd="sng">
                          <a:solidFill>
                            <a:srgbClr val="FFFFFF"/>
                          </a:solidFill>
                          <a:prstDash val="solid"/>
                          <a:miter/>
                          <a:headEnd type="none" w="med" len="med"/>
                          <a:tailEnd type="none" w="med" len="med"/>
                        </a:ln>
                      </wps:spPr>
                      <wps:bodyPr upright="true"/>
                    </wps:wsp>
                  </a:graphicData>
                </a:graphic>
              </wp:anchor>
            </w:drawing>
          </mc:Choice>
          <mc:Fallback>
            <w:pict>
              <v:rect id="矩形 3" o:spid="_x0000_s1026" o:spt="1" style="position:absolute;left:0pt;margin-left:351.85pt;margin-top:639.85pt;height:37.5pt;width:84pt;z-index:251660288;mso-width-relative:page;mso-height-relative:page;" fillcolor="#FFFFFF" filled="t" stroked="t" coordsize="21600,21600" o:gfxdata="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aOnv72QAAAA0BAAAPAAAAAAAAAAEAIAAAADgAAABkcnMvZG93bnJldi54bWxQ&#10;SwECFAAUAAAACACHTuJAiy39yeABAADTAwAADgAAAAAAAAABACAAAAA+AQAAZHJzL2Uyb0RvYy54&#10;bWxQSwUGAAAAAAYABgBZAQAAkAUAAAAA&#10;">
                <v:fill on="t" focussize="0,0"/>
                <v:stroke color="#FFFFFF" joinstyle="miter"/>
                <v:imagedata o:title=""/>
                <o:lock v:ext="edit" aspectratio="f"/>
              </v:rect>
            </w:pict>
          </mc:Fallback>
        </mc:AlternateContent>
      </w:r>
      <w:bookmarkStart w:id="6" w:name="_GoBack"/>
      <w:bookmarkEnd w:id="6"/>
    </w:p>
    <w:sectPr>
      <w:headerReference r:id="rId7" w:type="first"/>
      <w:footerReference r:id="rId10" w:type="first"/>
      <w:headerReference r:id="rId5" w:type="default"/>
      <w:footerReference r:id="rId8" w:type="default"/>
      <w:headerReference r:id="rId6" w:type="even"/>
      <w:footerReference r:id="rId9" w:type="even"/>
      <w:pgSz w:w="11906" w:h="16838"/>
      <w:pgMar w:top="2098" w:right="1588" w:bottom="1985" w:left="1588" w:header="851" w:footer="1418"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sz w:val="28"/>
        <w:szCs w:val="28"/>
      </w:rPr>
      <w:id w:val="-153764481"/>
    </w:sdtPr>
    <w:sdtEndPr>
      <w:rPr>
        <w:rFonts w:hint="eastAsia" w:ascii="宋体" w:hAnsi="宋体" w:eastAsia="宋体"/>
        <w:sz w:val="28"/>
        <w:szCs w:val="28"/>
      </w:rPr>
    </w:sdtEndPr>
    <w:sdtContent>
      <w:p>
        <w:pPr>
          <w:pStyle w:val="11"/>
          <w:ind w:left="280" w:leftChars="100" w:right="280" w:rightChars="100" w:firstLine="0" w:firstLineChars="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sz w:val="28"/>
        <w:szCs w:val="28"/>
      </w:rPr>
      <w:id w:val="-1196535522"/>
    </w:sdtPr>
    <w:sdtEndPr>
      <w:rPr>
        <w:rFonts w:hint="eastAsia" w:ascii="宋体" w:hAnsi="宋体" w:eastAsia="宋体"/>
        <w:sz w:val="28"/>
        <w:szCs w:val="28"/>
      </w:rPr>
    </w:sdtEndPr>
    <w:sdtContent>
      <w:p>
        <w:pPr>
          <w:pStyle w:val="11"/>
          <w:ind w:left="280" w:leftChars="100" w:right="280" w:rightChars="100" w:firstLine="0" w:firstLineChars="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true"/>
  <w:bordersDoNotSurroundFooter w:val="true"/>
  <w:documentProtection w:enforcement="0"/>
  <w:defaultTabStop w:val="420"/>
  <w:evenAndOddHeaders w:val="true"/>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3B8"/>
    <w:rsid w:val="000052CB"/>
    <w:rsid w:val="00012DF4"/>
    <w:rsid w:val="00014FCB"/>
    <w:rsid w:val="00021398"/>
    <w:rsid w:val="0002381A"/>
    <w:rsid w:val="00026B27"/>
    <w:rsid w:val="0003062C"/>
    <w:rsid w:val="00031E48"/>
    <w:rsid w:val="000361FB"/>
    <w:rsid w:val="000362F9"/>
    <w:rsid w:val="0004109D"/>
    <w:rsid w:val="00042513"/>
    <w:rsid w:val="00042B62"/>
    <w:rsid w:val="00043DB1"/>
    <w:rsid w:val="0004519A"/>
    <w:rsid w:val="0004772A"/>
    <w:rsid w:val="00051CF6"/>
    <w:rsid w:val="00062615"/>
    <w:rsid w:val="0006427C"/>
    <w:rsid w:val="00065818"/>
    <w:rsid w:val="00066CE5"/>
    <w:rsid w:val="00067701"/>
    <w:rsid w:val="000733E9"/>
    <w:rsid w:val="00076A7C"/>
    <w:rsid w:val="0007734B"/>
    <w:rsid w:val="000817CD"/>
    <w:rsid w:val="00085719"/>
    <w:rsid w:val="00090D16"/>
    <w:rsid w:val="00090EE2"/>
    <w:rsid w:val="00092CF2"/>
    <w:rsid w:val="00096AA7"/>
    <w:rsid w:val="0009733F"/>
    <w:rsid w:val="000A02F2"/>
    <w:rsid w:val="000A4EEA"/>
    <w:rsid w:val="000B27F7"/>
    <w:rsid w:val="000B6083"/>
    <w:rsid w:val="000C5CFA"/>
    <w:rsid w:val="000C6C19"/>
    <w:rsid w:val="000D7394"/>
    <w:rsid w:val="000D74D2"/>
    <w:rsid w:val="000E1FEE"/>
    <w:rsid w:val="000E3C98"/>
    <w:rsid w:val="000E5490"/>
    <w:rsid w:val="000F3634"/>
    <w:rsid w:val="000F6BF5"/>
    <w:rsid w:val="0010147C"/>
    <w:rsid w:val="00102B05"/>
    <w:rsid w:val="001120B4"/>
    <w:rsid w:val="00112BA1"/>
    <w:rsid w:val="00117945"/>
    <w:rsid w:val="00117D1A"/>
    <w:rsid w:val="0012180B"/>
    <w:rsid w:val="001221EB"/>
    <w:rsid w:val="001228CC"/>
    <w:rsid w:val="00124E2A"/>
    <w:rsid w:val="001310B0"/>
    <w:rsid w:val="00131E80"/>
    <w:rsid w:val="00133733"/>
    <w:rsid w:val="00137553"/>
    <w:rsid w:val="00143172"/>
    <w:rsid w:val="001432CB"/>
    <w:rsid w:val="00143824"/>
    <w:rsid w:val="001444E6"/>
    <w:rsid w:val="0014653B"/>
    <w:rsid w:val="00151D71"/>
    <w:rsid w:val="00153190"/>
    <w:rsid w:val="001558AD"/>
    <w:rsid w:val="001608AF"/>
    <w:rsid w:val="00167AAA"/>
    <w:rsid w:val="001715E4"/>
    <w:rsid w:val="001760F4"/>
    <w:rsid w:val="0018683E"/>
    <w:rsid w:val="0019076F"/>
    <w:rsid w:val="00196488"/>
    <w:rsid w:val="001A18F3"/>
    <w:rsid w:val="001A30F5"/>
    <w:rsid w:val="001A4C26"/>
    <w:rsid w:val="001A5FB5"/>
    <w:rsid w:val="001B392E"/>
    <w:rsid w:val="001B5744"/>
    <w:rsid w:val="001C1D7B"/>
    <w:rsid w:val="001C2F90"/>
    <w:rsid w:val="001C768D"/>
    <w:rsid w:val="001D2491"/>
    <w:rsid w:val="001D4D94"/>
    <w:rsid w:val="001D574F"/>
    <w:rsid w:val="001D67D6"/>
    <w:rsid w:val="001D6BDA"/>
    <w:rsid w:val="001D7EE0"/>
    <w:rsid w:val="001E55C6"/>
    <w:rsid w:val="001E5CED"/>
    <w:rsid w:val="001E641C"/>
    <w:rsid w:val="001F39E5"/>
    <w:rsid w:val="001F6CEA"/>
    <w:rsid w:val="00201271"/>
    <w:rsid w:val="00202211"/>
    <w:rsid w:val="00207DCE"/>
    <w:rsid w:val="00214BEA"/>
    <w:rsid w:val="00216A07"/>
    <w:rsid w:val="00234D46"/>
    <w:rsid w:val="00237710"/>
    <w:rsid w:val="00240469"/>
    <w:rsid w:val="002454CD"/>
    <w:rsid w:val="0024688C"/>
    <w:rsid w:val="00247C50"/>
    <w:rsid w:val="00251348"/>
    <w:rsid w:val="002551BF"/>
    <w:rsid w:val="00266574"/>
    <w:rsid w:val="00266860"/>
    <w:rsid w:val="00266D4A"/>
    <w:rsid w:val="00275D11"/>
    <w:rsid w:val="002805D5"/>
    <w:rsid w:val="00282907"/>
    <w:rsid w:val="0028434F"/>
    <w:rsid w:val="00293ABB"/>
    <w:rsid w:val="00294290"/>
    <w:rsid w:val="00295817"/>
    <w:rsid w:val="002A2FA0"/>
    <w:rsid w:val="002A7ACC"/>
    <w:rsid w:val="002A7FF6"/>
    <w:rsid w:val="002B4470"/>
    <w:rsid w:val="002C22FB"/>
    <w:rsid w:val="002C3580"/>
    <w:rsid w:val="002C5A29"/>
    <w:rsid w:val="002C6334"/>
    <w:rsid w:val="002C6452"/>
    <w:rsid w:val="002C650F"/>
    <w:rsid w:val="002E2D0B"/>
    <w:rsid w:val="002E3E76"/>
    <w:rsid w:val="002F0464"/>
    <w:rsid w:val="002F0D6A"/>
    <w:rsid w:val="002F1317"/>
    <w:rsid w:val="002F276C"/>
    <w:rsid w:val="002F45FA"/>
    <w:rsid w:val="002F56E9"/>
    <w:rsid w:val="002F64F9"/>
    <w:rsid w:val="00303379"/>
    <w:rsid w:val="00311B9E"/>
    <w:rsid w:val="00312C49"/>
    <w:rsid w:val="003132F6"/>
    <w:rsid w:val="0031518A"/>
    <w:rsid w:val="003158C3"/>
    <w:rsid w:val="003205CF"/>
    <w:rsid w:val="00332215"/>
    <w:rsid w:val="0033520B"/>
    <w:rsid w:val="00335534"/>
    <w:rsid w:val="00337B9E"/>
    <w:rsid w:val="00350317"/>
    <w:rsid w:val="0035567D"/>
    <w:rsid w:val="0036650A"/>
    <w:rsid w:val="00367302"/>
    <w:rsid w:val="00373601"/>
    <w:rsid w:val="00374D00"/>
    <w:rsid w:val="00380BA5"/>
    <w:rsid w:val="003831AC"/>
    <w:rsid w:val="00385F6F"/>
    <w:rsid w:val="003A1F63"/>
    <w:rsid w:val="003B1D13"/>
    <w:rsid w:val="003B3810"/>
    <w:rsid w:val="003C16E9"/>
    <w:rsid w:val="003C3010"/>
    <w:rsid w:val="003C36C5"/>
    <w:rsid w:val="003C390D"/>
    <w:rsid w:val="003C7011"/>
    <w:rsid w:val="003D2F34"/>
    <w:rsid w:val="003D526B"/>
    <w:rsid w:val="003D52FF"/>
    <w:rsid w:val="003D6815"/>
    <w:rsid w:val="003E22AE"/>
    <w:rsid w:val="003E2DCE"/>
    <w:rsid w:val="003E70AF"/>
    <w:rsid w:val="003F3D6B"/>
    <w:rsid w:val="003F5295"/>
    <w:rsid w:val="003F594E"/>
    <w:rsid w:val="003F66AB"/>
    <w:rsid w:val="0041580A"/>
    <w:rsid w:val="004163D2"/>
    <w:rsid w:val="0042232D"/>
    <w:rsid w:val="004319E3"/>
    <w:rsid w:val="00434948"/>
    <w:rsid w:val="00434BB3"/>
    <w:rsid w:val="00435B1C"/>
    <w:rsid w:val="00446B54"/>
    <w:rsid w:val="00446BAB"/>
    <w:rsid w:val="00457F83"/>
    <w:rsid w:val="00460F0C"/>
    <w:rsid w:val="00475AF6"/>
    <w:rsid w:val="00477D13"/>
    <w:rsid w:val="00485B6B"/>
    <w:rsid w:val="00490B62"/>
    <w:rsid w:val="004954BE"/>
    <w:rsid w:val="0049772F"/>
    <w:rsid w:val="004A21D8"/>
    <w:rsid w:val="004A34CC"/>
    <w:rsid w:val="004A394F"/>
    <w:rsid w:val="004B50E7"/>
    <w:rsid w:val="004B59AD"/>
    <w:rsid w:val="004C5C5D"/>
    <w:rsid w:val="004C688B"/>
    <w:rsid w:val="004D4415"/>
    <w:rsid w:val="004D44A9"/>
    <w:rsid w:val="004D5253"/>
    <w:rsid w:val="004E2BA4"/>
    <w:rsid w:val="004E4A49"/>
    <w:rsid w:val="004E7F8D"/>
    <w:rsid w:val="004F0083"/>
    <w:rsid w:val="004F1C2A"/>
    <w:rsid w:val="004F504D"/>
    <w:rsid w:val="004F55FF"/>
    <w:rsid w:val="00503010"/>
    <w:rsid w:val="00505B0E"/>
    <w:rsid w:val="00511B2A"/>
    <w:rsid w:val="00513193"/>
    <w:rsid w:val="00515236"/>
    <w:rsid w:val="0052181E"/>
    <w:rsid w:val="005225E9"/>
    <w:rsid w:val="005245B4"/>
    <w:rsid w:val="00526FE1"/>
    <w:rsid w:val="005327DF"/>
    <w:rsid w:val="00533797"/>
    <w:rsid w:val="00536893"/>
    <w:rsid w:val="005422A1"/>
    <w:rsid w:val="00550F28"/>
    <w:rsid w:val="00553E4B"/>
    <w:rsid w:val="00555FC5"/>
    <w:rsid w:val="00556C94"/>
    <w:rsid w:val="00557822"/>
    <w:rsid w:val="005648F6"/>
    <w:rsid w:val="00575C08"/>
    <w:rsid w:val="00576E8F"/>
    <w:rsid w:val="005820E5"/>
    <w:rsid w:val="005864A2"/>
    <w:rsid w:val="005872E0"/>
    <w:rsid w:val="00590423"/>
    <w:rsid w:val="00593595"/>
    <w:rsid w:val="00593840"/>
    <w:rsid w:val="00594D6A"/>
    <w:rsid w:val="00596968"/>
    <w:rsid w:val="00597292"/>
    <w:rsid w:val="005A29C6"/>
    <w:rsid w:val="005B2860"/>
    <w:rsid w:val="005C1572"/>
    <w:rsid w:val="005C228C"/>
    <w:rsid w:val="005C4AE3"/>
    <w:rsid w:val="005C5F02"/>
    <w:rsid w:val="005D2F7F"/>
    <w:rsid w:val="005D33B8"/>
    <w:rsid w:val="005D5BF2"/>
    <w:rsid w:val="005D6563"/>
    <w:rsid w:val="005D7420"/>
    <w:rsid w:val="005E1E27"/>
    <w:rsid w:val="005E5922"/>
    <w:rsid w:val="005E610D"/>
    <w:rsid w:val="005F0C9C"/>
    <w:rsid w:val="00600887"/>
    <w:rsid w:val="006041FB"/>
    <w:rsid w:val="00606CB0"/>
    <w:rsid w:val="006125B8"/>
    <w:rsid w:val="00614B32"/>
    <w:rsid w:val="00615ECB"/>
    <w:rsid w:val="006212E4"/>
    <w:rsid w:val="0062752E"/>
    <w:rsid w:val="00631108"/>
    <w:rsid w:val="00632E22"/>
    <w:rsid w:val="006345AF"/>
    <w:rsid w:val="006371F3"/>
    <w:rsid w:val="00637584"/>
    <w:rsid w:val="00640A6F"/>
    <w:rsid w:val="0064290A"/>
    <w:rsid w:val="00646ADB"/>
    <w:rsid w:val="00647B51"/>
    <w:rsid w:val="00650F34"/>
    <w:rsid w:val="00652409"/>
    <w:rsid w:val="006529D6"/>
    <w:rsid w:val="00654A4C"/>
    <w:rsid w:val="006562D5"/>
    <w:rsid w:val="00660339"/>
    <w:rsid w:val="00662603"/>
    <w:rsid w:val="006644EC"/>
    <w:rsid w:val="00666ACD"/>
    <w:rsid w:val="00666EED"/>
    <w:rsid w:val="00671B2D"/>
    <w:rsid w:val="00676913"/>
    <w:rsid w:val="0067793D"/>
    <w:rsid w:val="006867EC"/>
    <w:rsid w:val="00686AA3"/>
    <w:rsid w:val="0069719D"/>
    <w:rsid w:val="006A4991"/>
    <w:rsid w:val="006A7053"/>
    <w:rsid w:val="006B1112"/>
    <w:rsid w:val="006B1D9C"/>
    <w:rsid w:val="006B2C86"/>
    <w:rsid w:val="006B60D8"/>
    <w:rsid w:val="006B636A"/>
    <w:rsid w:val="006B6541"/>
    <w:rsid w:val="006C03A2"/>
    <w:rsid w:val="006C2DE5"/>
    <w:rsid w:val="006C47A7"/>
    <w:rsid w:val="006C78EC"/>
    <w:rsid w:val="006C7C81"/>
    <w:rsid w:val="006D1E94"/>
    <w:rsid w:val="006D5068"/>
    <w:rsid w:val="006D64ED"/>
    <w:rsid w:val="006F0E76"/>
    <w:rsid w:val="006F4DCF"/>
    <w:rsid w:val="00701636"/>
    <w:rsid w:val="00705B5C"/>
    <w:rsid w:val="00705EEF"/>
    <w:rsid w:val="007107AF"/>
    <w:rsid w:val="00716CE6"/>
    <w:rsid w:val="00717927"/>
    <w:rsid w:val="00717B08"/>
    <w:rsid w:val="00720983"/>
    <w:rsid w:val="00720E17"/>
    <w:rsid w:val="00721E81"/>
    <w:rsid w:val="00722359"/>
    <w:rsid w:val="0073127D"/>
    <w:rsid w:val="00732F29"/>
    <w:rsid w:val="00745B1E"/>
    <w:rsid w:val="00746925"/>
    <w:rsid w:val="007469EE"/>
    <w:rsid w:val="00746CAE"/>
    <w:rsid w:val="0074719C"/>
    <w:rsid w:val="00751F0E"/>
    <w:rsid w:val="007555CE"/>
    <w:rsid w:val="0076069C"/>
    <w:rsid w:val="007628C7"/>
    <w:rsid w:val="00762FBD"/>
    <w:rsid w:val="0076503D"/>
    <w:rsid w:val="007650DD"/>
    <w:rsid w:val="00773F51"/>
    <w:rsid w:val="00774B27"/>
    <w:rsid w:val="00777D33"/>
    <w:rsid w:val="00785338"/>
    <w:rsid w:val="007967BB"/>
    <w:rsid w:val="007A0BE4"/>
    <w:rsid w:val="007A4632"/>
    <w:rsid w:val="007A4FE9"/>
    <w:rsid w:val="007B59A2"/>
    <w:rsid w:val="007B5F97"/>
    <w:rsid w:val="007B783F"/>
    <w:rsid w:val="007C3B1A"/>
    <w:rsid w:val="007C6C77"/>
    <w:rsid w:val="007D149C"/>
    <w:rsid w:val="007D3327"/>
    <w:rsid w:val="007D41DC"/>
    <w:rsid w:val="007D5E7D"/>
    <w:rsid w:val="007D6A46"/>
    <w:rsid w:val="007E0C8D"/>
    <w:rsid w:val="007E262A"/>
    <w:rsid w:val="007E60E6"/>
    <w:rsid w:val="007E6DC8"/>
    <w:rsid w:val="007E7722"/>
    <w:rsid w:val="007F5A95"/>
    <w:rsid w:val="007F5BBB"/>
    <w:rsid w:val="007F72F6"/>
    <w:rsid w:val="007F7504"/>
    <w:rsid w:val="008139D4"/>
    <w:rsid w:val="0082006B"/>
    <w:rsid w:val="0082009A"/>
    <w:rsid w:val="0082222D"/>
    <w:rsid w:val="008224A9"/>
    <w:rsid w:val="00823AC7"/>
    <w:rsid w:val="0082555B"/>
    <w:rsid w:val="00827278"/>
    <w:rsid w:val="00827754"/>
    <w:rsid w:val="00841C2A"/>
    <w:rsid w:val="00843A13"/>
    <w:rsid w:val="00844A9C"/>
    <w:rsid w:val="00852945"/>
    <w:rsid w:val="00865705"/>
    <w:rsid w:val="00871E48"/>
    <w:rsid w:val="0087555D"/>
    <w:rsid w:val="00876A28"/>
    <w:rsid w:val="00876F92"/>
    <w:rsid w:val="00877B82"/>
    <w:rsid w:val="00885812"/>
    <w:rsid w:val="00892A21"/>
    <w:rsid w:val="008B04C0"/>
    <w:rsid w:val="008B7B18"/>
    <w:rsid w:val="008C1FBF"/>
    <w:rsid w:val="008C7881"/>
    <w:rsid w:val="008D320A"/>
    <w:rsid w:val="008D327E"/>
    <w:rsid w:val="008F2071"/>
    <w:rsid w:val="008F53AB"/>
    <w:rsid w:val="00900B96"/>
    <w:rsid w:val="00903586"/>
    <w:rsid w:val="00912234"/>
    <w:rsid w:val="00914878"/>
    <w:rsid w:val="009220C3"/>
    <w:rsid w:val="009220CD"/>
    <w:rsid w:val="00922564"/>
    <w:rsid w:val="00940062"/>
    <w:rsid w:val="00940DC4"/>
    <w:rsid w:val="009414A8"/>
    <w:rsid w:val="00943359"/>
    <w:rsid w:val="009452D6"/>
    <w:rsid w:val="00946399"/>
    <w:rsid w:val="00957AD5"/>
    <w:rsid w:val="00981684"/>
    <w:rsid w:val="00982C95"/>
    <w:rsid w:val="00995180"/>
    <w:rsid w:val="00996E19"/>
    <w:rsid w:val="0099787E"/>
    <w:rsid w:val="009A3329"/>
    <w:rsid w:val="009A3C2F"/>
    <w:rsid w:val="009B1A6B"/>
    <w:rsid w:val="009C0E20"/>
    <w:rsid w:val="009C4236"/>
    <w:rsid w:val="009D686D"/>
    <w:rsid w:val="009E1E28"/>
    <w:rsid w:val="009E49F2"/>
    <w:rsid w:val="009E4C80"/>
    <w:rsid w:val="009F0A34"/>
    <w:rsid w:val="009F6BB4"/>
    <w:rsid w:val="009F6E7E"/>
    <w:rsid w:val="00A00F5D"/>
    <w:rsid w:val="00A06350"/>
    <w:rsid w:val="00A22619"/>
    <w:rsid w:val="00A22BCD"/>
    <w:rsid w:val="00A232E1"/>
    <w:rsid w:val="00A24D99"/>
    <w:rsid w:val="00A24F1C"/>
    <w:rsid w:val="00A35577"/>
    <w:rsid w:val="00A4417D"/>
    <w:rsid w:val="00A44408"/>
    <w:rsid w:val="00A4531B"/>
    <w:rsid w:val="00A46683"/>
    <w:rsid w:val="00A4748E"/>
    <w:rsid w:val="00A5002E"/>
    <w:rsid w:val="00A52758"/>
    <w:rsid w:val="00A52E8E"/>
    <w:rsid w:val="00A62A29"/>
    <w:rsid w:val="00A63515"/>
    <w:rsid w:val="00A67150"/>
    <w:rsid w:val="00A7379A"/>
    <w:rsid w:val="00A74643"/>
    <w:rsid w:val="00A779F9"/>
    <w:rsid w:val="00A83407"/>
    <w:rsid w:val="00A852A2"/>
    <w:rsid w:val="00A859C7"/>
    <w:rsid w:val="00A900D8"/>
    <w:rsid w:val="00A94784"/>
    <w:rsid w:val="00A9702B"/>
    <w:rsid w:val="00AA25D4"/>
    <w:rsid w:val="00AA27A4"/>
    <w:rsid w:val="00AA30FA"/>
    <w:rsid w:val="00AA52E8"/>
    <w:rsid w:val="00AB27FB"/>
    <w:rsid w:val="00AB2A02"/>
    <w:rsid w:val="00AB456F"/>
    <w:rsid w:val="00AB46CB"/>
    <w:rsid w:val="00AB5BA6"/>
    <w:rsid w:val="00AC17D7"/>
    <w:rsid w:val="00AC3B2B"/>
    <w:rsid w:val="00AC46DA"/>
    <w:rsid w:val="00AD09D7"/>
    <w:rsid w:val="00AD5093"/>
    <w:rsid w:val="00AD51F9"/>
    <w:rsid w:val="00AD61DB"/>
    <w:rsid w:val="00AE1CF4"/>
    <w:rsid w:val="00AE1DB1"/>
    <w:rsid w:val="00AE30EE"/>
    <w:rsid w:val="00AF0E2E"/>
    <w:rsid w:val="00AF5071"/>
    <w:rsid w:val="00B177F9"/>
    <w:rsid w:val="00B224AB"/>
    <w:rsid w:val="00B22DCC"/>
    <w:rsid w:val="00B320E3"/>
    <w:rsid w:val="00B330FD"/>
    <w:rsid w:val="00B401A4"/>
    <w:rsid w:val="00B413EC"/>
    <w:rsid w:val="00B47A68"/>
    <w:rsid w:val="00B505C9"/>
    <w:rsid w:val="00B55EE0"/>
    <w:rsid w:val="00B6206E"/>
    <w:rsid w:val="00B65A86"/>
    <w:rsid w:val="00B71C9F"/>
    <w:rsid w:val="00B77DBA"/>
    <w:rsid w:val="00B81D3B"/>
    <w:rsid w:val="00B9350E"/>
    <w:rsid w:val="00BA19FD"/>
    <w:rsid w:val="00BA5591"/>
    <w:rsid w:val="00BA709A"/>
    <w:rsid w:val="00BB1F84"/>
    <w:rsid w:val="00BB5540"/>
    <w:rsid w:val="00BB7E44"/>
    <w:rsid w:val="00BC2026"/>
    <w:rsid w:val="00BC247A"/>
    <w:rsid w:val="00BC563E"/>
    <w:rsid w:val="00BD1C3A"/>
    <w:rsid w:val="00BD226F"/>
    <w:rsid w:val="00BE071D"/>
    <w:rsid w:val="00BE62A8"/>
    <w:rsid w:val="00BE6415"/>
    <w:rsid w:val="00BE6E15"/>
    <w:rsid w:val="00BF0CC8"/>
    <w:rsid w:val="00BF5EF6"/>
    <w:rsid w:val="00C03A14"/>
    <w:rsid w:val="00C1272B"/>
    <w:rsid w:val="00C1470A"/>
    <w:rsid w:val="00C20486"/>
    <w:rsid w:val="00C22C2B"/>
    <w:rsid w:val="00C23286"/>
    <w:rsid w:val="00C27EAF"/>
    <w:rsid w:val="00C33BBD"/>
    <w:rsid w:val="00C35204"/>
    <w:rsid w:val="00C35EB3"/>
    <w:rsid w:val="00C446CC"/>
    <w:rsid w:val="00C45B3A"/>
    <w:rsid w:val="00C45F1C"/>
    <w:rsid w:val="00C529C0"/>
    <w:rsid w:val="00C62434"/>
    <w:rsid w:val="00C657A9"/>
    <w:rsid w:val="00C818DD"/>
    <w:rsid w:val="00C821E3"/>
    <w:rsid w:val="00C84CA8"/>
    <w:rsid w:val="00C905B6"/>
    <w:rsid w:val="00CA140B"/>
    <w:rsid w:val="00CA606C"/>
    <w:rsid w:val="00CB1123"/>
    <w:rsid w:val="00CB24F3"/>
    <w:rsid w:val="00CB435F"/>
    <w:rsid w:val="00CB5166"/>
    <w:rsid w:val="00CB6A17"/>
    <w:rsid w:val="00CC0760"/>
    <w:rsid w:val="00CC1775"/>
    <w:rsid w:val="00CC7F96"/>
    <w:rsid w:val="00CD68DD"/>
    <w:rsid w:val="00CD731C"/>
    <w:rsid w:val="00CE056F"/>
    <w:rsid w:val="00CF3AEC"/>
    <w:rsid w:val="00CF3B8A"/>
    <w:rsid w:val="00CF74E3"/>
    <w:rsid w:val="00D017EF"/>
    <w:rsid w:val="00D10F78"/>
    <w:rsid w:val="00D16ECA"/>
    <w:rsid w:val="00D2315A"/>
    <w:rsid w:val="00D239D7"/>
    <w:rsid w:val="00D23C91"/>
    <w:rsid w:val="00D23E75"/>
    <w:rsid w:val="00D26BF8"/>
    <w:rsid w:val="00D27D11"/>
    <w:rsid w:val="00D31A55"/>
    <w:rsid w:val="00D36067"/>
    <w:rsid w:val="00D373DA"/>
    <w:rsid w:val="00D37A16"/>
    <w:rsid w:val="00D40106"/>
    <w:rsid w:val="00D507CB"/>
    <w:rsid w:val="00D50EFD"/>
    <w:rsid w:val="00D51FAD"/>
    <w:rsid w:val="00D56CF3"/>
    <w:rsid w:val="00D571FA"/>
    <w:rsid w:val="00D5766F"/>
    <w:rsid w:val="00D6255B"/>
    <w:rsid w:val="00D634D6"/>
    <w:rsid w:val="00D666F3"/>
    <w:rsid w:val="00D66819"/>
    <w:rsid w:val="00D73F9A"/>
    <w:rsid w:val="00D82F4C"/>
    <w:rsid w:val="00D86414"/>
    <w:rsid w:val="00D93567"/>
    <w:rsid w:val="00D94829"/>
    <w:rsid w:val="00D97E6A"/>
    <w:rsid w:val="00DA4B88"/>
    <w:rsid w:val="00DA6B52"/>
    <w:rsid w:val="00DB36F5"/>
    <w:rsid w:val="00DB7B2C"/>
    <w:rsid w:val="00DC11FB"/>
    <w:rsid w:val="00DC394A"/>
    <w:rsid w:val="00DC4B76"/>
    <w:rsid w:val="00DC6D3C"/>
    <w:rsid w:val="00DC749C"/>
    <w:rsid w:val="00DD4078"/>
    <w:rsid w:val="00DD42A1"/>
    <w:rsid w:val="00DD49E3"/>
    <w:rsid w:val="00DE361C"/>
    <w:rsid w:val="00DE47A4"/>
    <w:rsid w:val="00DE74B7"/>
    <w:rsid w:val="00DF3ABA"/>
    <w:rsid w:val="00DF67B2"/>
    <w:rsid w:val="00DF6920"/>
    <w:rsid w:val="00E0091C"/>
    <w:rsid w:val="00E02E15"/>
    <w:rsid w:val="00E14534"/>
    <w:rsid w:val="00E208A8"/>
    <w:rsid w:val="00E20971"/>
    <w:rsid w:val="00E23BB9"/>
    <w:rsid w:val="00E2498D"/>
    <w:rsid w:val="00E267FC"/>
    <w:rsid w:val="00E26CCD"/>
    <w:rsid w:val="00E271E6"/>
    <w:rsid w:val="00E330EB"/>
    <w:rsid w:val="00E455AF"/>
    <w:rsid w:val="00E46181"/>
    <w:rsid w:val="00E52424"/>
    <w:rsid w:val="00E52F25"/>
    <w:rsid w:val="00E574F4"/>
    <w:rsid w:val="00E6242C"/>
    <w:rsid w:val="00E67435"/>
    <w:rsid w:val="00E67DAC"/>
    <w:rsid w:val="00E70005"/>
    <w:rsid w:val="00E707BE"/>
    <w:rsid w:val="00E70A57"/>
    <w:rsid w:val="00E737D2"/>
    <w:rsid w:val="00E7479A"/>
    <w:rsid w:val="00E76644"/>
    <w:rsid w:val="00E76B26"/>
    <w:rsid w:val="00E8064D"/>
    <w:rsid w:val="00E825A3"/>
    <w:rsid w:val="00E861B9"/>
    <w:rsid w:val="00E8683B"/>
    <w:rsid w:val="00E87EF9"/>
    <w:rsid w:val="00E920D5"/>
    <w:rsid w:val="00E9313E"/>
    <w:rsid w:val="00E94311"/>
    <w:rsid w:val="00EA5893"/>
    <w:rsid w:val="00EB026E"/>
    <w:rsid w:val="00EB4DF6"/>
    <w:rsid w:val="00EB7680"/>
    <w:rsid w:val="00EC2258"/>
    <w:rsid w:val="00ED0FB2"/>
    <w:rsid w:val="00ED792D"/>
    <w:rsid w:val="00EE1786"/>
    <w:rsid w:val="00EE5284"/>
    <w:rsid w:val="00EE5830"/>
    <w:rsid w:val="00EF38B6"/>
    <w:rsid w:val="00EF5791"/>
    <w:rsid w:val="00F02464"/>
    <w:rsid w:val="00F071C0"/>
    <w:rsid w:val="00F119DA"/>
    <w:rsid w:val="00F11EFE"/>
    <w:rsid w:val="00F12E22"/>
    <w:rsid w:val="00F140E2"/>
    <w:rsid w:val="00F22325"/>
    <w:rsid w:val="00F22F63"/>
    <w:rsid w:val="00F26FE9"/>
    <w:rsid w:val="00F33F92"/>
    <w:rsid w:val="00F34A89"/>
    <w:rsid w:val="00F35D5C"/>
    <w:rsid w:val="00F41FE5"/>
    <w:rsid w:val="00F42E71"/>
    <w:rsid w:val="00F44334"/>
    <w:rsid w:val="00F47042"/>
    <w:rsid w:val="00F54F47"/>
    <w:rsid w:val="00F553F5"/>
    <w:rsid w:val="00F558EE"/>
    <w:rsid w:val="00F56624"/>
    <w:rsid w:val="00F605AD"/>
    <w:rsid w:val="00F77669"/>
    <w:rsid w:val="00F814BD"/>
    <w:rsid w:val="00F87A33"/>
    <w:rsid w:val="00F87CD5"/>
    <w:rsid w:val="00F90DBE"/>
    <w:rsid w:val="00F93499"/>
    <w:rsid w:val="00F94FAF"/>
    <w:rsid w:val="00FA2100"/>
    <w:rsid w:val="00FA3758"/>
    <w:rsid w:val="00FA70F0"/>
    <w:rsid w:val="00FB4FD3"/>
    <w:rsid w:val="00FB51CF"/>
    <w:rsid w:val="00FB6375"/>
    <w:rsid w:val="00FB7D01"/>
    <w:rsid w:val="00FB7FA2"/>
    <w:rsid w:val="00FC1217"/>
    <w:rsid w:val="00FC4E49"/>
    <w:rsid w:val="00FC7AA3"/>
    <w:rsid w:val="00FD1FC2"/>
    <w:rsid w:val="00FE03F5"/>
    <w:rsid w:val="00FE5E9A"/>
    <w:rsid w:val="00FF0084"/>
    <w:rsid w:val="00FF1102"/>
    <w:rsid w:val="00FF550E"/>
    <w:rsid w:val="011D5A46"/>
    <w:rsid w:val="040E5EA0"/>
    <w:rsid w:val="084C4BAF"/>
    <w:rsid w:val="0C9E5113"/>
    <w:rsid w:val="10D32063"/>
    <w:rsid w:val="262E1A92"/>
    <w:rsid w:val="31C54B3C"/>
    <w:rsid w:val="3396503B"/>
    <w:rsid w:val="347B38B6"/>
    <w:rsid w:val="38065B35"/>
    <w:rsid w:val="3997B226"/>
    <w:rsid w:val="3B90292B"/>
    <w:rsid w:val="3BF58D40"/>
    <w:rsid w:val="3DFF0A6D"/>
    <w:rsid w:val="3FFB759F"/>
    <w:rsid w:val="41D16C61"/>
    <w:rsid w:val="437D58C3"/>
    <w:rsid w:val="4A92268D"/>
    <w:rsid w:val="52035056"/>
    <w:rsid w:val="54F24B15"/>
    <w:rsid w:val="567B4DE5"/>
    <w:rsid w:val="5C943956"/>
    <w:rsid w:val="5FFEA511"/>
    <w:rsid w:val="65FE3E2C"/>
    <w:rsid w:val="697A7955"/>
    <w:rsid w:val="6BFB134D"/>
    <w:rsid w:val="6C9F5F15"/>
    <w:rsid w:val="6E97DDD9"/>
    <w:rsid w:val="6EEFBFFC"/>
    <w:rsid w:val="6F1FDB55"/>
    <w:rsid w:val="6FEED298"/>
    <w:rsid w:val="75771F01"/>
    <w:rsid w:val="77AFFC8C"/>
    <w:rsid w:val="7DE674A9"/>
    <w:rsid w:val="7DFF1B13"/>
    <w:rsid w:val="7EF31D20"/>
    <w:rsid w:val="7F5865A3"/>
    <w:rsid w:val="7FBFFE88"/>
    <w:rsid w:val="7FDDD006"/>
    <w:rsid w:val="7FEBD043"/>
    <w:rsid w:val="7FF7D401"/>
    <w:rsid w:val="7FFF14F6"/>
    <w:rsid w:val="97FB3FB7"/>
    <w:rsid w:val="99E751E1"/>
    <w:rsid w:val="9F635229"/>
    <w:rsid w:val="AF6FA87D"/>
    <w:rsid w:val="AFA5A2D3"/>
    <w:rsid w:val="BA1A29D0"/>
    <w:rsid w:val="BDFD460E"/>
    <w:rsid w:val="BFFF7F68"/>
    <w:rsid w:val="CFE83A2C"/>
    <w:rsid w:val="DF3F8647"/>
    <w:rsid w:val="DF6F9684"/>
    <w:rsid w:val="E75FA2C0"/>
    <w:rsid w:val="EDFB8492"/>
    <w:rsid w:val="EFEF8660"/>
    <w:rsid w:val="F78DE9C9"/>
    <w:rsid w:val="F8B6B237"/>
    <w:rsid w:val="F9EF5812"/>
    <w:rsid w:val="FDE7C93B"/>
    <w:rsid w:val="FFCFCE02"/>
    <w:rsid w:val="FFD3FE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_GB2312" w:cstheme="minorBidi"/>
      <w:kern w:val="2"/>
      <w:sz w:val="28"/>
      <w:szCs w:val="22"/>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8"/>
    <w:semiHidden/>
    <w:unhideWhenUsed/>
    <w:qFormat/>
    <w:uiPriority w:val="99"/>
    <w:rPr>
      <w:sz w:val="18"/>
      <w:szCs w:val="18"/>
    </w:rPr>
  </w:style>
  <w:style w:type="paragraph" w:styleId="5">
    <w:name w:val="Normal Indent"/>
    <w:next w:val="1"/>
    <w:qFormat/>
    <w:uiPriority w:val="0"/>
    <w:pPr>
      <w:widowControl w:val="0"/>
      <w:autoSpaceDE w:val="0"/>
      <w:autoSpaceDN w:val="0"/>
      <w:ind w:firstLine="420" w:firstLineChars="200"/>
    </w:pPr>
    <w:rPr>
      <w:rFonts w:ascii="仿宋_GB2312" w:hAnsi="仿宋_GB2312" w:eastAsia="仿宋_GB2312" w:cs="仿宋_GB2312"/>
      <w:sz w:val="21"/>
      <w:szCs w:val="22"/>
      <w:lang w:val="en-US" w:eastAsia="en-US" w:bidi="ar-SA"/>
    </w:rPr>
  </w:style>
  <w:style w:type="paragraph" w:styleId="6">
    <w:name w:val="Document Map"/>
    <w:basedOn w:val="1"/>
    <w:link w:val="26"/>
    <w:semiHidden/>
    <w:unhideWhenUsed/>
    <w:qFormat/>
    <w:uiPriority w:val="99"/>
    <w:rPr>
      <w:rFonts w:ascii="宋体" w:eastAsia="宋体"/>
      <w:sz w:val="18"/>
      <w:szCs w:val="18"/>
    </w:rPr>
  </w:style>
  <w:style w:type="paragraph" w:styleId="7">
    <w:name w:val="annotation text"/>
    <w:basedOn w:val="1"/>
    <w:semiHidden/>
    <w:unhideWhenUsed/>
    <w:qFormat/>
    <w:uiPriority w:val="99"/>
    <w:pPr>
      <w:jc w:val="left"/>
    </w:pPr>
  </w:style>
  <w:style w:type="paragraph" w:styleId="8">
    <w:name w:val="Body Text Indent"/>
    <w:next w:val="5"/>
    <w:qFormat/>
    <w:uiPriority w:val="0"/>
    <w:pPr>
      <w:widowControl w:val="0"/>
      <w:autoSpaceDE w:val="0"/>
      <w:autoSpaceDN w:val="0"/>
      <w:spacing w:line="540" w:lineRule="exact"/>
      <w:ind w:firstLine="624" w:firstLineChars="200"/>
    </w:pPr>
    <w:rPr>
      <w:rFonts w:ascii="仿宋_GB2312" w:hAnsi="仿宋_GB2312" w:eastAsia="仿宋_GB2312" w:cs="仿宋_GB2312"/>
      <w:sz w:val="21"/>
      <w:szCs w:val="22"/>
      <w:lang w:val="en-US" w:eastAsia="en-US" w:bidi="ar-SA"/>
    </w:rPr>
  </w:style>
  <w:style w:type="paragraph" w:styleId="9">
    <w:name w:val="toc 3"/>
    <w:basedOn w:val="1"/>
    <w:next w:val="1"/>
    <w:unhideWhenUsed/>
    <w:qFormat/>
    <w:uiPriority w:val="39"/>
    <w:pPr>
      <w:ind w:left="840" w:leftChars="400"/>
    </w:pPr>
  </w:style>
  <w:style w:type="paragraph" w:styleId="10">
    <w:name w:val="Date"/>
    <w:basedOn w:val="1"/>
    <w:next w:val="1"/>
    <w:link w:val="27"/>
    <w:semiHidden/>
    <w:unhideWhenUsed/>
    <w:qFormat/>
    <w:uiPriority w:val="99"/>
    <w:pPr>
      <w:ind w:left="100" w:leftChars="2500"/>
    </w:pPr>
  </w:style>
  <w:style w:type="paragraph" w:styleId="11">
    <w:name w:val="footer"/>
    <w:basedOn w:val="1"/>
    <w:link w:val="29"/>
    <w:unhideWhenUsed/>
    <w:qFormat/>
    <w:uiPriority w:val="99"/>
    <w:pPr>
      <w:tabs>
        <w:tab w:val="center" w:pos="4153"/>
        <w:tab w:val="right" w:pos="8306"/>
      </w:tabs>
      <w:snapToGrid w:val="0"/>
      <w:jc w:val="left"/>
    </w:pPr>
    <w:rPr>
      <w:sz w:val="18"/>
      <w:szCs w:val="18"/>
    </w:rPr>
  </w:style>
  <w:style w:type="paragraph" w:styleId="12">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able of figures"/>
    <w:next w:val="1"/>
    <w:qFormat/>
    <w:uiPriority w:val="0"/>
    <w:pPr>
      <w:widowControl w:val="0"/>
      <w:autoSpaceDE w:val="0"/>
      <w:autoSpaceDN w:val="0"/>
      <w:ind w:left="200" w:leftChars="200" w:hanging="200" w:hangingChars="200"/>
    </w:pPr>
    <w:rPr>
      <w:rFonts w:ascii="仿宋_GB2312" w:hAnsi="仿宋_GB2312" w:eastAsia="仿宋_GB2312" w:cs="仿宋_GB2312"/>
      <w:sz w:val="21"/>
      <w:szCs w:val="22"/>
      <w:lang w:val="en-US" w:eastAsia="en-US" w:bidi="ar-SA"/>
    </w:rPr>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99"/>
    <w:pPr>
      <w:ind w:firstLine="0" w:firstLineChars="0"/>
    </w:pPr>
    <w:rPr>
      <w:rFonts w:eastAsia="宋体" w:cs="Times New Roman"/>
      <w:sz w:val="24"/>
      <w:szCs w:val="20"/>
    </w:rPr>
  </w:style>
  <w:style w:type="paragraph" w:styleId="17">
    <w:name w:val="Body Text First Indent 2"/>
    <w:next w:val="1"/>
    <w:qFormat/>
    <w:uiPriority w:val="0"/>
    <w:pPr>
      <w:widowControl w:val="0"/>
      <w:autoSpaceDE w:val="0"/>
      <w:autoSpaceDN w:val="0"/>
      <w:spacing w:line="540" w:lineRule="exact"/>
      <w:ind w:firstLine="420" w:firstLineChars="200"/>
    </w:pPr>
    <w:rPr>
      <w:rFonts w:ascii="仿宋_GB2312" w:hAnsi="仿宋_GB2312" w:eastAsia="仿宋_GB2312" w:cs="仿宋_GB2312"/>
      <w:sz w:val="21"/>
      <w:szCs w:val="22"/>
      <w:lang w:val="en-US" w:eastAsia="en-US" w:bidi="ar-SA"/>
    </w:r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1">
    <w:name w:val="FollowedHyperlink"/>
    <w:basedOn w:val="20"/>
    <w:semiHidden/>
    <w:unhideWhenUsed/>
    <w:qFormat/>
    <w:uiPriority w:val="99"/>
    <w:rPr>
      <w:color w:val="954F72"/>
      <w:u w:val="single"/>
    </w:rPr>
  </w:style>
  <w:style w:type="character" w:styleId="22">
    <w:name w:val="Hyperlink"/>
    <w:basedOn w:val="20"/>
    <w:unhideWhenUsed/>
    <w:qFormat/>
    <w:uiPriority w:val="99"/>
    <w:rPr>
      <w:color w:val="0000FF" w:themeColor="hyperlink"/>
      <w:u w:val="single"/>
    </w:rPr>
  </w:style>
  <w:style w:type="character" w:styleId="23">
    <w:name w:val="annotation reference"/>
    <w:basedOn w:val="20"/>
    <w:semiHidden/>
    <w:unhideWhenUsed/>
    <w:qFormat/>
    <w:uiPriority w:val="99"/>
    <w:rPr>
      <w:sz w:val="21"/>
      <w:szCs w:val="21"/>
    </w:rPr>
  </w:style>
  <w:style w:type="character" w:customStyle="1" w:styleId="24">
    <w:name w:val="标题 1 字符"/>
    <w:basedOn w:val="20"/>
    <w:link w:val="3"/>
    <w:qFormat/>
    <w:uiPriority w:val="9"/>
    <w:rPr>
      <w:b/>
      <w:bCs/>
      <w:kern w:val="44"/>
      <w:sz w:val="44"/>
      <w:szCs w:val="44"/>
    </w:rPr>
  </w:style>
  <w:style w:type="character" w:customStyle="1" w:styleId="25">
    <w:name w:val="标题 2 字符"/>
    <w:basedOn w:val="20"/>
    <w:link w:val="4"/>
    <w:semiHidden/>
    <w:qFormat/>
    <w:uiPriority w:val="9"/>
    <w:rPr>
      <w:rFonts w:asciiTheme="majorHAnsi" w:hAnsiTheme="majorHAnsi" w:eastAsiaTheme="majorEastAsia" w:cstheme="majorBidi"/>
      <w:b/>
      <w:bCs/>
      <w:kern w:val="2"/>
      <w:sz w:val="32"/>
      <w:szCs w:val="32"/>
    </w:rPr>
  </w:style>
  <w:style w:type="character" w:customStyle="1" w:styleId="26">
    <w:name w:val="文档结构图 字符"/>
    <w:basedOn w:val="20"/>
    <w:link w:val="6"/>
    <w:semiHidden/>
    <w:qFormat/>
    <w:uiPriority w:val="99"/>
    <w:rPr>
      <w:rFonts w:ascii="宋体" w:eastAsia="宋体"/>
      <w:sz w:val="18"/>
      <w:szCs w:val="18"/>
    </w:rPr>
  </w:style>
  <w:style w:type="character" w:customStyle="1" w:styleId="27">
    <w:name w:val="日期 字符"/>
    <w:basedOn w:val="20"/>
    <w:link w:val="10"/>
    <w:semiHidden/>
    <w:qFormat/>
    <w:uiPriority w:val="99"/>
    <w:rPr>
      <w:rFonts w:eastAsia="仿宋_GB2312" w:cstheme="minorBidi"/>
      <w:kern w:val="2"/>
      <w:sz w:val="28"/>
      <w:szCs w:val="22"/>
    </w:rPr>
  </w:style>
  <w:style w:type="character" w:customStyle="1" w:styleId="28">
    <w:name w:val="批注框文本 字符"/>
    <w:basedOn w:val="20"/>
    <w:link w:val="2"/>
    <w:semiHidden/>
    <w:qFormat/>
    <w:uiPriority w:val="99"/>
    <w:rPr>
      <w:sz w:val="18"/>
      <w:szCs w:val="18"/>
    </w:rPr>
  </w:style>
  <w:style w:type="character" w:customStyle="1" w:styleId="29">
    <w:name w:val="页脚 字符"/>
    <w:basedOn w:val="20"/>
    <w:link w:val="11"/>
    <w:qFormat/>
    <w:uiPriority w:val="99"/>
    <w:rPr>
      <w:sz w:val="18"/>
      <w:szCs w:val="18"/>
    </w:rPr>
  </w:style>
  <w:style w:type="character" w:customStyle="1" w:styleId="30">
    <w:name w:val="页眉 字符"/>
    <w:basedOn w:val="20"/>
    <w:link w:val="12"/>
    <w:qFormat/>
    <w:uiPriority w:val="99"/>
    <w:rPr>
      <w:sz w:val="18"/>
      <w:szCs w:val="18"/>
    </w:rPr>
  </w:style>
  <w:style w:type="paragraph" w:styleId="31">
    <w:name w:val="List Paragraph"/>
    <w:basedOn w:val="1"/>
    <w:qFormat/>
    <w:uiPriority w:val="34"/>
    <w:pPr>
      <w:ind w:firstLine="420"/>
    </w:pPr>
  </w:style>
  <w:style w:type="table" w:customStyle="1" w:styleId="32">
    <w:name w:val="网格型1"/>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table" w:customStyle="1" w:styleId="34">
    <w:name w:val="网格型2"/>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
    <w:name w:val="网格型3"/>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
    <w:name w:val="表格"/>
    <w:basedOn w:val="1"/>
    <w:link w:val="37"/>
    <w:qFormat/>
    <w:uiPriority w:val="0"/>
    <w:pPr>
      <w:ind w:firstLine="0" w:firstLineChars="0"/>
      <w:jc w:val="center"/>
    </w:pPr>
    <w:rPr>
      <w:rFonts w:cs="Times New Roman"/>
      <w:color w:val="000000"/>
      <w:sz w:val="21"/>
      <w:szCs w:val="21"/>
    </w:rPr>
  </w:style>
  <w:style w:type="character" w:customStyle="1" w:styleId="37">
    <w:name w:val="表格 Char"/>
    <w:basedOn w:val="20"/>
    <w:link w:val="36"/>
    <w:qFormat/>
    <w:uiPriority w:val="0"/>
    <w:rPr>
      <w:rFonts w:ascii="Times New Roman" w:hAnsi="Times New Roman" w:eastAsia="仿宋_GB2312" w:cs="Times New Roman"/>
      <w:color w:val="000000"/>
      <w:szCs w:val="21"/>
    </w:rPr>
  </w:style>
  <w:style w:type="paragraph" w:customStyle="1" w:styleId="38">
    <w:name w:val="一级标题lq"/>
    <w:basedOn w:val="1"/>
    <w:link w:val="39"/>
    <w:qFormat/>
    <w:uiPriority w:val="0"/>
    <w:pPr>
      <w:spacing w:beforeLines="50" w:afterLines="50" w:line="360" w:lineRule="auto"/>
      <w:outlineLvl w:val="0"/>
    </w:pPr>
    <w:rPr>
      <w:rFonts w:ascii="仿宋_GB2312" w:hAnsi="微软雅黑" w:cs="Times New Roman"/>
      <w:b/>
      <w:sz w:val="32"/>
      <w:szCs w:val="28"/>
    </w:rPr>
  </w:style>
  <w:style w:type="character" w:customStyle="1" w:styleId="39">
    <w:name w:val="一级标题lq Char"/>
    <w:basedOn w:val="20"/>
    <w:link w:val="38"/>
    <w:qFormat/>
    <w:uiPriority w:val="0"/>
    <w:rPr>
      <w:rFonts w:ascii="仿宋_GB2312" w:hAnsi="微软雅黑" w:eastAsia="仿宋_GB2312" w:cs="Times New Roman"/>
      <w:b/>
      <w:sz w:val="32"/>
      <w:szCs w:val="28"/>
    </w:rPr>
  </w:style>
  <w:style w:type="paragraph" w:customStyle="1" w:styleId="40">
    <w:name w:val="二级标题lq"/>
    <w:basedOn w:val="1"/>
    <w:link w:val="41"/>
    <w:qFormat/>
    <w:uiPriority w:val="0"/>
    <w:pPr>
      <w:spacing w:beforeLines="50" w:afterLines="50" w:line="360" w:lineRule="auto"/>
      <w:outlineLvl w:val="1"/>
    </w:pPr>
    <w:rPr>
      <w:rFonts w:ascii="仿宋_GB2312" w:hAnsi="黑体" w:cs="Times New Roman"/>
      <w:b/>
      <w:szCs w:val="28"/>
    </w:rPr>
  </w:style>
  <w:style w:type="character" w:customStyle="1" w:styleId="41">
    <w:name w:val="二级标题lq Char"/>
    <w:basedOn w:val="20"/>
    <w:link w:val="40"/>
    <w:qFormat/>
    <w:uiPriority w:val="0"/>
    <w:rPr>
      <w:rFonts w:ascii="仿宋_GB2312" w:hAnsi="黑体" w:eastAsia="仿宋_GB2312" w:cs="Times New Roman"/>
      <w:b/>
      <w:sz w:val="28"/>
      <w:szCs w:val="28"/>
    </w:rPr>
  </w:style>
  <w:style w:type="paragraph" w:customStyle="1" w:styleId="42">
    <w:name w:val="表头"/>
    <w:basedOn w:val="1"/>
    <w:link w:val="43"/>
    <w:qFormat/>
    <w:uiPriority w:val="0"/>
    <w:pPr>
      <w:spacing w:line="360" w:lineRule="auto"/>
      <w:ind w:firstLine="0" w:firstLineChars="0"/>
      <w:jc w:val="center"/>
    </w:pPr>
    <w:rPr>
      <w:rFonts w:cs="Times New Roman"/>
      <w:color w:val="000000"/>
      <w:sz w:val="24"/>
      <w:szCs w:val="28"/>
    </w:rPr>
  </w:style>
  <w:style w:type="character" w:customStyle="1" w:styleId="43">
    <w:name w:val="表头 Char"/>
    <w:basedOn w:val="20"/>
    <w:link w:val="42"/>
    <w:qFormat/>
    <w:uiPriority w:val="0"/>
    <w:rPr>
      <w:rFonts w:ascii="Times New Roman" w:hAnsi="Times New Roman" w:eastAsia="仿宋_GB2312" w:cs="Times New Roman"/>
      <w:color w:val="000000"/>
      <w:sz w:val="24"/>
      <w:szCs w:val="28"/>
    </w:rPr>
  </w:style>
  <w:style w:type="paragraph" w:customStyle="1" w:styleId="44">
    <w:name w:val="三级标题lq"/>
    <w:basedOn w:val="40"/>
    <w:link w:val="45"/>
    <w:qFormat/>
    <w:uiPriority w:val="0"/>
    <w:pPr>
      <w:spacing w:beforeLines="0" w:afterLines="0"/>
      <w:outlineLvl w:val="2"/>
    </w:pPr>
    <w:rPr>
      <w:rFonts w:ascii="Times New Roman" w:hAnsi="Times New Roman"/>
    </w:rPr>
  </w:style>
  <w:style w:type="character" w:customStyle="1" w:styleId="45">
    <w:name w:val="三级标题lq Char"/>
    <w:basedOn w:val="41"/>
    <w:link w:val="44"/>
    <w:qFormat/>
    <w:uiPriority w:val="0"/>
    <w:rPr>
      <w:rFonts w:ascii="仿宋_GB2312" w:hAnsi="黑体" w:eastAsia="仿宋_GB2312" w:cs="Times New Roman"/>
      <w:kern w:val="2"/>
      <w:sz w:val="28"/>
      <w:szCs w:val="28"/>
    </w:rPr>
  </w:style>
  <w:style w:type="paragraph" w:customStyle="1" w:styleId="46">
    <w:name w:val="font5"/>
    <w:basedOn w:val="1"/>
    <w:qFormat/>
    <w:uiPriority w:val="0"/>
    <w:pPr>
      <w:widowControl/>
      <w:spacing w:before="100" w:beforeAutospacing="1" w:after="100" w:afterAutospacing="1"/>
      <w:ind w:firstLine="0" w:firstLineChars="0"/>
      <w:jc w:val="left"/>
    </w:pPr>
    <w:rPr>
      <w:rFonts w:ascii="宋体" w:hAnsi="宋体" w:eastAsia="宋体" w:cs="宋体"/>
      <w:color w:val="000000"/>
      <w:kern w:val="0"/>
      <w:sz w:val="21"/>
      <w:szCs w:val="21"/>
    </w:rPr>
  </w:style>
  <w:style w:type="paragraph" w:customStyle="1" w:styleId="47">
    <w:name w:val="font6"/>
    <w:basedOn w:val="1"/>
    <w:qFormat/>
    <w:uiPriority w:val="0"/>
    <w:pPr>
      <w:widowControl/>
      <w:spacing w:before="100" w:beforeAutospacing="1" w:after="100" w:afterAutospacing="1"/>
      <w:ind w:firstLine="0" w:firstLineChars="0"/>
      <w:jc w:val="left"/>
    </w:pPr>
    <w:rPr>
      <w:rFonts w:eastAsia="宋体" w:cs="Times New Roman"/>
      <w:color w:val="000000"/>
      <w:kern w:val="0"/>
      <w:sz w:val="21"/>
      <w:szCs w:val="21"/>
    </w:rPr>
  </w:style>
  <w:style w:type="paragraph" w:customStyle="1" w:styleId="48">
    <w:name w:val="font7"/>
    <w:basedOn w:val="1"/>
    <w:qFormat/>
    <w:uiPriority w:val="0"/>
    <w:pPr>
      <w:widowControl/>
      <w:spacing w:before="100" w:beforeAutospacing="1" w:after="100" w:afterAutospacing="1"/>
      <w:ind w:firstLine="0" w:firstLineChars="0"/>
      <w:jc w:val="left"/>
    </w:pPr>
    <w:rPr>
      <w:rFonts w:ascii="宋体" w:hAnsi="宋体" w:eastAsia="宋体" w:cs="宋体"/>
      <w:kern w:val="0"/>
      <w:sz w:val="18"/>
      <w:szCs w:val="18"/>
    </w:rPr>
  </w:style>
  <w:style w:type="paragraph" w:customStyle="1" w:styleId="49">
    <w:name w:val="font8"/>
    <w:basedOn w:val="1"/>
    <w:qFormat/>
    <w:uiPriority w:val="0"/>
    <w:pPr>
      <w:widowControl/>
      <w:spacing w:before="100" w:beforeAutospacing="1" w:after="100" w:afterAutospacing="1"/>
      <w:ind w:firstLine="0" w:firstLineChars="0"/>
      <w:jc w:val="left"/>
    </w:pPr>
    <w:rPr>
      <w:rFonts w:ascii="仿宋_GB2312" w:hAnsi="宋体" w:cs="宋体"/>
      <w:color w:val="000000"/>
      <w:kern w:val="0"/>
      <w:sz w:val="21"/>
      <w:szCs w:val="21"/>
    </w:rPr>
  </w:style>
  <w:style w:type="paragraph" w:customStyle="1" w:styleId="50">
    <w:name w:val="font9"/>
    <w:basedOn w:val="1"/>
    <w:qFormat/>
    <w:uiPriority w:val="0"/>
    <w:pPr>
      <w:widowControl/>
      <w:spacing w:before="100" w:beforeAutospacing="1" w:after="100" w:afterAutospacing="1"/>
      <w:ind w:firstLine="0" w:firstLineChars="0"/>
      <w:jc w:val="left"/>
    </w:pPr>
    <w:rPr>
      <w:rFonts w:ascii="仿宋_GB2312" w:hAnsi="宋体" w:cs="宋体"/>
      <w:kern w:val="0"/>
      <w:sz w:val="21"/>
      <w:szCs w:val="21"/>
    </w:rPr>
  </w:style>
  <w:style w:type="paragraph" w:customStyle="1" w:styleId="51">
    <w:name w:val="xl6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ind w:firstLine="0" w:firstLineChars="0"/>
      <w:jc w:val="center"/>
    </w:pPr>
    <w:rPr>
      <w:rFonts w:ascii="仿宋_GB2312" w:hAnsi="宋体" w:cs="宋体"/>
      <w:color w:val="000000"/>
      <w:kern w:val="0"/>
      <w:sz w:val="21"/>
      <w:szCs w:val="21"/>
    </w:rPr>
  </w:style>
  <w:style w:type="paragraph" w:customStyle="1" w:styleId="52">
    <w:name w:val="xl69"/>
    <w:basedOn w:val="1"/>
    <w:qFormat/>
    <w:uiPriority w:val="0"/>
    <w:pPr>
      <w:widowControl/>
      <w:pBdr>
        <w:top w:val="single" w:color="auto" w:sz="8" w:space="0"/>
        <w:bottom w:val="single" w:color="auto" w:sz="8" w:space="0"/>
        <w:right w:val="single" w:color="auto" w:sz="8" w:space="0"/>
      </w:pBdr>
      <w:spacing w:before="100" w:beforeAutospacing="1" w:after="100" w:afterAutospacing="1"/>
      <w:ind w:firstLine="0" w:firstLineChars="0"/>
      <w:jc w:val="center"/>
    </w:pPr>
    <w:rPr>
      <w:rFonts w:ascii="仿宋_GB2312" w:hAnsi="宋体" w:cs="宋体"/>
      <w:color w:val="000000"/>
      <w:kern w:val="0"/>
      <w:sz w:val="21"/>
      <w:szCs w:val="21"/>
    </w:rPr>
  </w:style>
  <w:style w:type="paragraph" w:customStyle="1" w:styleId="53">
    <w:name w:val="xl70"/>
    <w:basedOn w:val="1"/>
    <w:qFormat/>
    <w:uiPriority w:val="0"/>
    <w:pPr>
      <w:widowControl/>
      <w:pBdr>
        <w:top w:val="single" w:color="auto" w:sz="8" w:space="0"/>
        <w:bottom w:val="single" w:color="auto" w:sz="8" w:space="0"/>
        <w:right w:val="single" w:color="auto" w:sz="8" w:space="0"/>
      </w:pBdr>
      <w:spacing w:before="100" w:beforeAutospacing="1" w:after="100" w:afterAutospacing="1"/>
      <w:ind w:firstLine="0" w:firstLineChars="0"/>
      <w:jc w:val="center"/>
      <w:textAlignment w:val="top"/>
    </w:pPr>
    <w:rPr>
      <w:rFonts w:ascii="仿宋_GB2312" w:hAnsi="宋体" w:cs="宋体"/>
      <w:color w:val="000000"/>
      <w:kern w:val="0"/>
      <w:sz w:val="21"/>
      <w:szCs w:val="21"/>
    </w:rPr>
  </w:style>
  <w:style w:type="paragraph" w:customStyle="1" w:styleId="54">
    <w:name w:val="xl71"/>
    <w:basedOn w:val="1"/>
    <w:qFormat/>
    <w:uiPriority w:val="0"/>
    <w:pPr>
      <w:widowControl/>
      <w:pBdr>
        <w:left w:val="single" w:color="auto" w:sz="8" w:space="0"/>
        <w:bottom w:val="single" w:color="auto" w:sz="8" w:space="0"/>
        <w:right w:val="single" w:color="auto" w:sz="8" w:space="0"/>
      </w:pBdr>
      <w:spacing w:before="100" w:beforeAutospacing="1" w:after="100" w:afterAutospacing="1"/>
      <w:ind w:firstLine="0" w:firstLineChars="0"/>
      <w:jc w:val="center"/>
    </w:pPr>
    <w:rPr>
      <w:rFonts w:eastAsia="宋体" w:cs="Times New Roman"/>
      <w:color w:val="000000"/>
      <w:kern w:val="0"/>
      <w:sz w:val="21"/>
      <w:szCs w:val="21"/>
    </w:rPr>
  </w:style>
  <w:style w:type="paragraph" w:customStyle="1" w:styleId="55">
    <w:name w:val="xl72"/>
    <w:basedOn w:val="1"/>
    <w:qFormat/>
    <w:uiPriority w:val="0"/>
    <w:pPr>
      <w:widowControl/>
      <w:pBdr>
        <w:bottom w:val="single" w:color="auto" w:sz="8" w:space="0"/>
        <w:right w:val="single" w:color="auto" w:sz="8" w:space="0"/>
      </w:pBdr>
      <w:spacing w:before="100" w:beforeAutospacing="1" w:after="100" w:afterAutospacing="1"/>
      <w:ind w:firstLine="0" w:firstLineChars="0"/>
      <w:jc w:val="center"/>
    </w:pPr>
    <w:rPr>
      <w:rFonts w:eastAsia="宋体" w:cs="Times New Roman"/>
      <w:color w:val="000000"/>
      <w:kern w:val="0"/>
      <w:sz w:val="21"/>
      <w:szCs w:val="21"/>
    </w:rPr>
  </w:style>
  <w:style w:type="paragraph" w:customStyle="1" w:styleId="56">
    <w:name w:val="xl73"/>
    <w:basedOn w:val="1"/>
    <w:qFormat/>
    <w:uiPriority w:val="0"/>
    <w:pPr>
      <w:widowControl/>
      <w:pBdr>
        <w:bottom w:val="single" w:color="auto" w:sz="8" w:space="0"/>
        <w:right w:val="single" w:color="auto" w:sz="8" w:space="0"/>
      </w:pBdr>
      <w:spacing w:before="100" w:beforeAutospacing="1" w:after="100" w:afterAutospacing="1"/>
      <w:ind w:firstLine="0" w:firstLineChars="0"/>
      <w:jc w:val="center"/>
    </w:pPr>
    <w:rPr>
      <w:rFonts w:ascii="仿宋_GB2312" w:hAnsi="宋体" w:cs="宋体"/>
      <w:color w:val="000000"/>
      <w:kern w:val="0"/>
      <w:sz w:val="21"/>
      <w:szCs w:val="21"/>
    </w:rPr>
  </w:style>
  <w:style w:type="paragraph" w:customStyle="1" w:styleId="57">
    <w:name w:val="xl74"/>
    <w:basedOn w:val="1"/>
    <w:qFormat/>
    <w:uiPriority w:val="0"/>
    <w:pPr>
      <w:widowControl/>
      <w:pBdr>
        <w:bottom w:val="single" w:color="auto" w:sz="8" w:space="0"/>
        <w:right w:val="single" w:color="auto" w:sz="8" w:space="0"/>
      </w:pBdr>
      <w:spacing w:before="100" w:beforeAutospacing="1" w:after="100" w:afterAutospacing="1"/>
      <w:ind w:firstLine="0" w:firstLineChars="0"/>
      <w:jc w:val="center"/>
      <w:textAlignment w:val="top"/>
    </w:pPr>
    <w:rPr>
      <w:rFonts w:eastAsia="宋体" w:cs="Times New Roman"/>
      <w:color w:val="000000"/>
      <w:kern w:val="0"/>
      <w:sz w:val="21"/>
      <w:szCs w:val="21"/>
    </w:rPr>
  </w:style>
  <w:style w:type="paragraph" w:customStyle="1" w:styleId="58">
    <w:name w:val="xl75"/>
    <w:basedOn w:val="1"/>
    <w:qFormat/>
    <w:uiPriority w:val="0"/>
    <w:pPr>
      <w:widowControl/>
      <w:pBdr>
        <w:bottom w:val="single" w:color="auto" w:sz="8" w:space="0"/>
        <w:right w:val="single" w:color="auto" w:sz="8" w:space="0"/>
      </w:pBdr>
      <w:spacing w:before="100" w:beforeAutospacing="1" w:after="100" w:afterAutospacing="1"/>
      <w:ind w:firstLine="0" w:firstLineChars="0"/>
      <w:jc w:val="left"/>
    </w:pPr>
    <w:rPr>
      <w:rFonts w:ascii="Calibri" w:hAnsi="Calibri" w:eastAsia="宋体" w:cs="宋体"/>
      <w:kern w:val="0"/>
      <w:sz w:val="21"/>
      <w:szCs w:val="21"/>
    </w:rPr>
  </w:style>
  <w:style w:type="paragraph" w:customStyle="1" w:styleId="59">
    <w:name w:val="xl76"/>
    <w:basedOn w:val="1"/>
    <w:qFormat/>
    <w:uiPriority w:val="0"/>
    <w:pPr>
      <w:widowControl/>
      <w:pBdr>
        <w:bottom w:val="single" w:color="auto" w:sz="8" w:space="0"/>
        <w:right w:val="single" w:color="auto" w:sz="8" w:space="0"/>
      </w:pBdr>
      <w:spacing w:before="100" w:beforeAutospacing="1" w:after="100" w:afterAutospacing="1"/>
      <w:ind w:firstLine="0" w:firstLineChars="0"/>
      <w:jc w:val="center"/>
    </w:pPr>
    <w:rPr>
      <w:rFonts w:eastAsia="宋体" w:cs="Times New Roman"/>
      <w:kern w:val="0"/>
      <w:sz w:val="21"/>
      <w:szCs w:val="21"/>
    </w:rPr>
  </w:style>
  <w:style w:type="paragraph" w:customStyle="1" w:styleId="60">
    <w:name w:val="xl77"/>
    <w:basedOn w:val="1"/>
    <w:qFormat/>
    <w:uiPriority w:val="0"/>
    <w:pPr>
      <w:widowControl/>
      <w:pBdr>
        <w:bottom w:val="single" w:color="auto" w:sz="8" w:space="0"/>
        <w:right w:val="single" w:color="auto" w:sz="8" w:space="0"/>
      </w:pBdr>
      <w:spacing w:before="100" w:beforeAutospacing="1" w:after="100" w:afterAutospacing="1"/>
      <w:ind w:firstLine="0" w:firstLineChars="0"/>
      <w:jc w:val="center"/>
    </w:pPr>
    <w:rPr>
      <w:rFonts w:ascii="仿宋_GB2312" w:hAnsi="宋体" w:cs="宋体"/>
      <w:kern w:val="0"/>
      <w:sz w:val="21"/>
      <w:szCs w:val="21"/>
    </w:rPr>
  </w:style>
  <w:style w:type="paragraph" w:customStyle="1" w:styleId="61">
    <w:name w:val="xl78"/>
    <w:basedOn w:val="1"/>
    <w:qFormat/>
    <w:uiPriority w:val="0"/>
    <w:pPr>
      <w:widowControl/>
      <w:spacing w:before="100" w:beforeAutospacing="1" w:after="100" w:afterAutospacing="1"/>
      <w:ind w:firstLine="0" w:firstLineChars="0"/>
      <w:jc w:val="left"/>
    </w:pPr>
    <w:rPr>
      <w:rFonts w:ascii="宋体" w:hAnsi="宋体" w:eastAsia="宋体" w:cs="宋体"/>
      <w:kern w:val="0"/>
      <w:sz w:val="24"/>
      <w:szCs w:val="24"/>
    </w:rPr>
  </w:style>
  <w:style w:type="paragraph" w:customStyle="1" w:styleId="6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黑体" w:hAnsi="黑体" w:eastAsia="黑体" w:cs="宋体"/>
      <w:color w:val="000000"/>
      <w:kern w:val="0"/>
      <w:sz w:val="21"/>
      <w:szCs w:val="21"/>
    </w:rPr>
  </w:style>
  <w:style w:type="paragraph" w:customStyle="1" w:styleId="6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黑体" w:hAnsi="黑体" w:eastAsia="黑体" w:cs="宋体"/>
      <w:color w:val="000000"/>
      <w:kern w:val="0"/>
      <w:sz w:val="21"/>
      <w:szCs w:val="21"/>
    </w:rPr>
  </w:style>
  <w:style w:type="paragraph" w:customStyle="1" w:styleId="6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eastAsia="宋体" w:cs="Times New Roman"/>
      <w:color w:val="000000"/>
      <w:kern w:val="0"/>
      <w:sz w:val="21"/>
      <w:szCs w:val="21"/>
    </w:rPr>
  </w:style>
  <w:style w:type="table" w:customStyle="1" w:styleId="65">
    <w:name w:val="网格型11"/>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6">
    <w:name w:val="xl63"/>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ind w:firstLine="0" w:firstLineChars="0"/>
      <w:jc w:val="center"/>
    </w:pPr>
    <w:rPr>
      <w:rFonts w:ascii="仿宋_GB2312" w:hAnsi="宋体" w:cs="宋体"/>
      <w:kern w:val="0"/>
      <w:sz w:val="24"/>
      <w:szCs w:val="24"/>
    </w:rPr>
  </w:style>
  <w:style w:type="paragraph" w:customStyle="1" w:styleId="67">
    <w:name w:val="xl64"/>
    <w:basedOn w:val="1"/>
    <w:qFormat/>
    <w:uiPriority w:val="0"/>
    <w:pPr>
      <w:widowControl/>
      <w:pBdr>
        <w:top w:val="single" w:color="000000" w:sz="8" w:space="0"/>
        <w:bottom w:val="single" w:color="000000" w:sz="8" w:space="0"/>
        <w:right w:val="single" w:color="000000" w:sz="8" w:space="0"/>
      </w:pBdr>
      <w:spacing w:before="100" w:beforeAutospacing="1" w:after="100" w:afterAutospacing="1"/>
      <w:ind w:firstLine="0" w:firstLineChars="0"/>
      <w:jc w:val="center"/>
    </w:pPr>
    <w:rPr>
      <w:rFonts w:ascii="仿宋_GB2312"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948</Words>
  <Characters>5408</Characters>
  <Lines>45</Lines>
  <Paragraphs>12</Paragraphs>
  <TotalTime>3</TotalTime>
  <ScaleCrop>false</ScaleCrop>
  <LinksUpToDate>false</LinksUpToDate>
  <CharactersWithSpaces>6344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2018-10-30T20:19:00Z</dcterms:created>
  <dc:creator>lenovo</dc:creator>
  <cp:lastModifiedBy>user</cp:lastModifiedBy>
  <cp:lastPrinted>2018-12-14T17:39:00Z</cp:lastPrinted>
  <dcterms:modified xsi:type="dcterms:W3CDTF">2024-01-03T15:42:51Z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