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EE" w:rsidRPr="00471A45" w:rsidRDefault="000903EE" w:rsidP="000903EE">
      <w:pPr>
        <w:overflowPunct w:val="0"/>
        <w:topLinePunct/>
        <w:spacing w:line="470" w:lineRule="exact"/>
        <w:jc w:val="center"/>
        <w:rPr>
          <w:rFonts w:ascii="方正小标宋简体" w:eastAsia="方正小标宋简体" w:hAnsi="方正小标宋简体" w:cs="方正小标宋简体"/>
          <w:b/>
          <w:sz w:val="44"/>
          <w:szCs w:val="44"/>
        </w:rPr>
      </w:pPr>
      <w:r w:rsidRPr="00471A45">
        <w:rPr>
          <w:rFonts w:ascii="方正小标宋简体" w:eastAsia="方正小标宋简体" w:hAnsi="方正小标宋简体" w:cs="方正小标宋简体" w:hint="eastAsia"/>
          <w:b/>
          <w:sz w:val="44"/>
          <w:szCs w:val="44"/>
        </w:rPr>
        <w:t>“12369”环保举报工作情况</w:t>
      </w:r>
    </w:p>
    <w:p w:rsidR="000903EE" w:rsidRDefault="000903EE" w:rsidP="000903EE">
      <w:pPr>
        <w:overflowPunct w:val="0"/>
        <w:topLinePunct/>
        <w:spacing w:line="470" w:lineRule="exact"/>
        <w:jc w:val="center"/>
        <w:rPr>
          <w:rFonts w:eastAsia="楷体_GB2312"/>
          <w:bCs/>
          <w:sz w:val="32"/>
          <w:szCs w:val="32"/>
        </w:rPr>
      </w:pPr>
      <w:r>
        <w:rPr>
          <w:rFonts w:eastAsia="楷体_GB2312" w:hint="eastAsia"/>
          <w:bCs/>
          <w:sz w:val="32"/>
          <w:szCs w:val="32"/>
        </w:rPr>
        <w:t>（</w:t>
      </w:r>
      <w:r>
        <w:rPr>
          <w:rFonts w:eastAsia="楷体_GB2312"/>
          <w:bCs/>
          <w:sz w:val="32"/>
          <w:szCs w:val="32"/>
        </w:rPr>
        <w:t>2019</w:t>
      </w:r>
      <w:r>
        <w:rPr>
          <w:rFonts w:eastAsia="楷体_GB2312"/>
          <w:bCs/>
          <w:sz w:val="32"/>
          <w:szCs w:val="32"/>
        </w:rPr>
        <w:t>年第</w:t>
      </w:r>
      <w:r w:rsidR="00D32302">
        <w:rPr>
          <w:rFonts w:eastAsia="楷体_GB2312"/>
          <w:bCs/>
          <w:sz w:val="32"/>
          <w:szCs w:val="32"/>
        </w:rPr>
        <w:t>7</w:t>
      </w:r>
      <w:r>
        <w:rPr>
          <w:rFonts w:eastAsia="楷体_GB2312"/>
          <w:bCs/>
          <w:sz w:val="32"/>
          <w:szCs w:val="32"/>
        </w:rPr>
        <w:t>期</w:t>
      </w:r>
      <w:r>
        <w:rPr>
          <w:rFonts w:eastAsia="楷体_GB2312" w:hint="eastAsia"/>
          <w:bCs/>
          <w:sz w:val="32"/>
          <w:szCs w:val="32"/>
        </w:rPr>
        <w:t>）</w:t>
      </w:r>
    </w:p>
    <w:p w:rsidR="000903EE" w:rsidRDefault="000903EE" w:rsidP="000903EE">
      <w:pPr>
        <w:overflowPunct w:val="0"/>
        <w:topLinePunct/>
        <w:spacing w:line="470" w:lineRule="exact"/>
        <w:jc w:val="center"/>
        <w:rPr>
          <w:rFonts w:eastAsia="楷体_GB2312"/>
          <w:bCs/>
          <w:sz w:val="32"/>
          <w:szCs w:val="32"/>
        </w:rPr>
      </w:pPr>
    </w:p>
    <w:p w:rsidR="00B739E3" w:rsidRDefault="00E53319">
      <w:pPr>
        <w:overflowPunct w:val="0"/>
        <w:topLinePunct/>
        <w:spacing w:line="600" w:lineRule="exact"/>
        <w:ind w:firstLineChars="200" w:firstLine="640"/>
        <w:rPr>
          <w:rFonts w:eastAsia="仿宋_GB2312"/>
          <w:sz w:val="32"/>
          <w:szCs w:val="32"/>
        </w:rPr>
      </w:pPr>
      <w:r>
        <w:rPr>
          <w:rFonts w:eastAsia="仿宋_GB2312" w:hint="eastAsia"/>
          <w:sz w:val="32"/>
          <w:szCs w:val="32"/>
        </w:rPr>
        <w:t>为进一步规范全省各级生态环境部门举报受理工作，四川省环境应急与事故调查中心按照工作要求，以“全国</w:t>
      </w:r>
      <w:r>
        <w:rPr>
          <w:rFonts w:eastAsia="仿宋_GB2312" w:hint="eastAsia"/>
          <w:sz w:val="32"/>
          <w:szCs w:val="32"/>
        </w:rPr>
        <w:t>12369</w:t>
      </w:r>
      <w:r>
        <w:rPr>
          <w:rFonts w:eastAsia="仿宋_GB2312" w:hint="eastAsia"/>
          <w:sz w:val="32"/>
          <w:szCs w:val="32"/>
        </w:rPr>
        <w:t>环保举报联网管理平台”为依托，整合</w:t>
      </w:r>
      <w:r>
        <w:rPr>
          <w:rFonts w:eastAsia="仿宋_GB2312" w:hint="eastAsia"/>
          <w:sz w:val="32"/>
          <w:szCs w:val="32"/>
        </w:rPr>
        <w:t>12369</w:t>
      </w:r>
      <w:r>
        <w:rPr>
          <w:rFonts w:eastAsia="仿宋_GB2312" w:hint="eastAsia"/>
          <w:sz w:val="32"/>
          <w:szCs w:val="32"/>
        </w:rPr>
        <w:t>电话、网络、</w:t>
      </w:r>
      <w:proofErr w:type="gramStart"/>
      <w:r>
        <w:rPr>
          <w:rFonts w:eastAsia="仿宋_GB2312" w:hint="eastAsia"/>
          <w:sz w:val="32"/>
          <w:szCs w:val="32"/>
        </w:rPr>
        <w:t>微信等</w:t>
      </w:r>
      <w:proofErr w:type="gramEnd"/>
      <w:r>
        <w:rPr>
          <w:rFonts w:eastAsia="仿宋_GB2312" w:hint="eastAsia"/>
          <w:sz w:val="32"/>
          <w:szCs w:val="32"/>
        </w:rPr>
        <w:t>多种举报渠道，扎实组织各市（州）、县（市、区）生态环境部门开展环保举报信息联网工作。现将</w:t>
      </w:r>
      <w:r>
        <w:rPr>
          <w:rFonts w:eastAsia="仿宋_GB2312" w:hint="eastAsia"/>
          <w:sz w:val="32"/>
          <w:szCs w:val="32"/>
        </w:rPr>
        <w:t>2019</w:t>
      </w:r>
      <w:r>
        <w:rPr>
          <w:rFonts w:eastAsia="仿宋_GB2312" w:hint="eastAsia"/>
          <w:sz w:val="32"/>
          <w:szCs w:val="32"/>
        </w:rPr>
        <w:t>年</w:t>
      </w:r>
      <w:r>
        <w:rPr>
          <w:rFonts w:eastAsia="仿宋_GB2312" w:hint="eastAsia"/>
          <w:sz w:val="32"/>
          <w:szCs w:val="32"/>
        </w:rPr>
        <w:t>7</w:t>
      </w:r>
      <w:r>
        <w:rPr>
          <w:rFonts w:eastAsia="仿宋_GB2312" w:hint="eastAsia"/>
          <w:sz w:val="32"/>
          <w:szCs w:val="32"/>
        </w:rPr>
        <w:t>月全省环保举报工作情况汇总如下：</w:t>
      </w:r>
    </w:p>
    <w:p w:rsidR="000903EE" w:rsidRDefault="000903EE" w:rsidP="000903EE">
      <w:pPr>
        <w:overflowPunct w:val="0"/>
        <w:topLinePunct/>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一、基本情况</w:t>
      </w:r>
    </w:p>
    <w:p w:rsidR="00B739E3" w:rsidRDefault="00E53319">
      <w:pPr>
        <w:overflowPunct w:val="0"/>
        <w:topLinePunct/>
        <w:spacing w:line="600" w:lineRule="exact"/>
        <w:ind w:firstLineChars="200" w:firstLine="640"/>
        <w:outlineLvl w:val="0"/>
      </w:pPr>
      <w:r>
        <w:rPr>
          <w:rFonts w:eastAsia="仿宋_GB2312" w:hint="eastAsia"/>
          <w:sz w:val="32"/>
          <w:szCs w:val="32"/>
        </w:rPr>
        <w:t>7</w:t>
      </w:r>
      <w:r>
        <w:rPr>
          <w:rFonts w:eastAsia="仿宋_GB2312" w:hint="eastAsia"/>
          <w:sz w:val="32"/>
          <w:szCs w:val="32"/>
        </w:rPr>
        <w:t>月，全省“</w:t>
      </w:r>
      <w:r>
        <w:rPr>
          <w:rFonts w:eastAsia="仿宋_GB2312" w:hint="eastAsia"/>
          <w:sz w:val="32"/>
          <w:szCs w:val="32"/>
        </w:rPr>
        <w:t>12369</w:t>
      </w:r>
      <w:r>
        <w:rPr>
          <w:rFonts w:eastAsia="仿宋_GB2312" w:hint="eastAsia"/>
          <w:sz w:val="32"/>
          <w:szCs w:val="32"/>
        </w:rPr>
        <w:t>环境举报联网管理平台”共接受群众举报</w:t>
      </w:r>
      <w:r>
        <w:rPr>
          <w:rFonts w:eastAsia="仿宋_GB2312"/>
          <w:sz w:val="32"/>
          <w:szCs w:val="32"/>
        </w:rPr>
        <w:t>668</w:t>
      </w:r>
      <w:r>
        <w:rPr>
          <w:rFonts w:eastAsia="仿宋_GB2312" w:hint="eastAsia"/>
          <w:sz w:val="32"/>
          <w:szCs w:val="32"/>
        </w:rPr>
        <w:t>件（详见附件</w:t>
      </w:r>
      <w:r>
        <w:rPr>
          <w:rFonts w:eastAsia="仿宋_GB2312" w:hint="eastAsia"/>
          <w:sz w:val="32"/>
          <w:szCs w:val="32"/>
        </w:rPr>
        <w:t>1</w:t>
      </w:r>
      <w:r>
        <w:rPr>
          <w:rFonts w:eastAsia="仿宋_GB2312" w:hint="eastAsia"/>
          <w:sz w:val="32"/>
          <w:szCs w:val="32"/>
        </w:rPr>
        <w:t>），其中：电话举报</w:t>
      </w:r>
      <w:r>
        <w:rPr>
          <w:rFonts w:eastAsia="仿宋_GB2312" w:hint="eastAsia"/>
          <w:sz w:val="32"/>
          <w:szCs w:val="32"/>
        </w:rPr>
        <w:t>284</w:t>
      </w:r>
      <w:r>
        <w:rPr>
          <w:rFonts w:eastAsia="仿宋_GB2312" w:hint="eastAsia"/>
          <w:sz w:val="32"/>
          <w:szCs w:val="32"/>
        </w:rPr>
        <w:t>件，占比</w:t>
      </w:r>
      <w:r>
        <w:rPr>
          <w:rFonts w:eastAsia="仿宋_GB2312" w:hint="eastAsia"/>
          <w:sz w:val="32"/>
          <w:szCs w:val="32"/>
        </w:rPr>
        <w:t>43%</w:t>
      </w:r>
      <w:r>
        <w:rPr>
          <w:rFonts w:eastAsia="仿宋_GB2312" w:hint="eastAsia"/>
          <w:sz w:val="32"/>
          <w:szCs w:val="32"/>
        </w:rPr>
        <w:t>；</w:t>
      </w:r>
      <w:proofErr w:type="gramStart"/>
      <w:r>
        <w:rPr>
          <w:rFonts w:eastAsia="仿宋_GB2312" w:hint="eastAsia"/>
          <w:sz w:val="32"/>
          <w:szCs w:val="32"/>
        </w:rPr>
        <w:t>微信举报</w:t>
      </w:r>
      <w:proofErr w:type="gramEnd"/>
      <w:r>
        <w:rPr>
          <w:rFonts w:eastAsia="仿宋_GB2312" w:hint="eastAsia"/>
          <w:sz w:val="32"/>
          <w:szCs w:val="32"/>
        </w:rPr>
        <w:t>297</w:t>
      </w:r>
      <w:r>
        <w:rPr>
          <w:rFonts w:eastAsia="仿宋_GB2312" w:hint="eastAsia"/>
          <w:sz w:val="32"/>
          <w:szCs w:val="32"/>
        </w:rPr>
        <w:t>件，占比</w:t>
      </w:r>
      <w:r>
        <w:rPr>
          <w:rFonts w:eastAsia="仿宋_GB2312" w:hint="eastAsia"/>
          <w:sz w:val="32"/>
          <w:szCs w:val="32"/>
        </w:rPr>
        <w:t>44%</w:t>
      </w:r>
      <w:r>
        <w:rPr>
          <w:rFonts w:eastAsia="仿宋_GB2312" w:hint="eastAsia"/>
          <w:sz w:val="32"/>
          <w:szCs w:val="32"/>
        </w:rPr>
        <w:t>；网络举报</w:t>
      </w:r>
      <w:r>
        <w:rPr>
          <w:rFonts w:eastAsia="仿宋_GB2312" w:hint="eastAsia"/>
          <w:sz w:val="32"/>
          <w:szCs w:val="32"/>
        </w:rPr>
        <w:t>87</w:t>
      </w:r>
      <w:r>
        <w:rPr>
          <w:rFonts w:eastAsia="仿宋_GB2312" w:hint="eastAsia"/>
          <w:sz w:val="32"/>
          <w:szCs w:val="32"/>
        </w:rPr>
        <w:t>件，占比</w:t>
      </w:r>
      <w:r>
        <w:rPr>
          <w:rFonts w:eastAsia="仿宋_GB2312" w:hint="eastAsia"/>
          <w:sz w:val="32"/>
          <w:szCs w:val="32"/>
        </w:rPr>
        <w:t>13%</w:t>
      </w:r>
      <w:r>
        <w:rPr>
          <w:rFonts w:eastAsia="仿宋_GB2312" w:hint="eastAsia"/>
          <w:sz w:val="32"/>
          <w:szCs w:val="32"/>
        </w:rPr>
        <w:t>。</w:t>
      </w:r>
    </w:p>
    <w:p w:rsidR="00B739E3" w:rsidRDefault="00E53319">
      <w:pPr>
        <w:overflowPunct w:val="0"/>
        <w:topLinePunct/>
        <w:spacing w:line="720" w:lineRule="auto"/>
        <w:ind w:firstLineChars="200" w:firstLine="420"/>
        <w:outlineLvl w:val="0"/>
      </w:pPr>
      <w:r w:rsidRPr="001A50AC">
        <w:rPr>
          <w:noProof/>
        </w:rPr>
        <w:drawing>
          <wp:inline distT="0" distB="0" distL="114300" distR="114300">
            <wp:extent cx="2247265" cy="2466340"/>
            <wp:effectExtent l="0" t="0" r="635" b="10160"/>
            <wp:docPr id="6" name="图片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1A50AC">
        <w:rPr>
          <w:noProof/>
        </w:rPr>
        <w:drawing>
          <wp:inline distT="0" distB="0" distL="114300" distR="114300">
            <wp:extent cx="2944495" cy="2390775"/>
            <wp:effectExtent l="0" t="0" r="8255" b="9525"/>
            <wp:docPr id="7" name="图片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39E3" w:rsidRDefault="00E53319">
      <w:pPr>
        <w:overflowPunct w:val="0"/>
        <w:topLinePunct/>
        <w:jc w:val="center"/>
        <w:outlineLvl w:val="0"/>
        <w:rPr>
          <w:rFonts w:eastAsia="黑体"/>
          <w:sz w:val="28"/>
          <w:szCs w:val="32"/>
        </w:rPr>
      </w:pPr>
      <w:r>
        <w:rPr>
          <w:rFonts w:eastAsia="黑体" w:hint="eastAsia"/>
          <w:sz w:val="28"/>
          <w:szCs w:val="32"/>
        </w:rPr>
        <w:t>图</w:t>
      </w:r>
      <w:r>
        <w:rPr>
          <w:rFonts w:eastAsia="黑体" w:hint="eastAsia"/>
          <w:sz w:val="28"/>
          <w:szCs w:val="32"/>
        </w:rPr>
        <w:t>1</w:t>
      </w:r>
      <w:r>
        <w:rPr>
          <w:rFonts w:eastAsia="黑体"/>
          <w:sz w:val="28"/>
          <w:szCs w:val="32"/>
        </w:rPr>
        <w:t xml:space="preserve"> </w:t>
      </w:r>
      <w:r>
        <w:rPr>
          <w:rFonts w:eastAsia="黑体" w:hint="eastAsia"/>
          <w:sz w:val="28"/>
          <w:szCs w:val="32"/>
        </w:rPr>
        <w:t xml:space="preserve"> 2019</w:t>
      </w:r>
      <w:r>
        <w:rPr>
          <w:rFonts w:eastAsia="黑体" w:hint="eastAsia"/>
          <w:sz w:val="28"/>
          <w:szCs w:val="32"/>
        </w:rPr>
        <w:t>年</w:t>
      </w:r>
      <w:r>
        <w:rPr>
          <w:rFonts w:eastAsia="黑体" w:hint="eastAsia"/>
          <w:sz w:val="28"/>
          <w:szCs w:val="32"/>
        </w:rPr>
        <w:t>7</w:t>
      </w:r>
      <w:r>
        <w:rPr>
          <w:rFonts w:eastAsia="黑体" w:hint="eastAsia"/>
          <w:sz w:val="28"/>
          <w:szCs w:val="32"/>
        </w:rPr>
        <w:t>月全省环保举报来源情况</w:t>
      </w:r>
    </w:p>
    <w:p w:rsidR="000903EE" w:rsidRDefault="000903EE">
      <w:pPr>
        <w:overflowPunct w:val="0"/>
        <w:topLinePunct/>
        <w:jc w:val="center"/>
        <w:outlineLvl w:val="0"/>
        <w:rPr>
          <w:rFonts w:eastAsia="黑体"/>
          <w:sz w:val="28"/>
          <w:szCs w:val="32"/>
        </w:rPr>
      </w:pPr>
    </w:p>
    <w:p w:rsidR="006B3672" w:rsidRDefault="006B3672">
      <w:pPr>
        <w:overflowPunct w:val="0"/>
        <w:topLinePunct/>
        <w:jc w:val="center"/>
        <w:outlineLvl w:val="0"/>
        <w:rPr>
          <w:rFonts w:eastAsia="黑体" w:hint="eastAsia"/>
          <w:sz w:val="28"/>
          <w:szCs w:val="32"/>
        </w:rPr>
      </w:pPr>
    </w:p>
    <w:p w:rsidR="000903EE" w:rsidRDefault="000903EE" w:rsidP="000903EE">
      <w:pPr>
        <w:overflowPunct w:val="0"/>
        <w:topLinePunct/>
        <w:spacing w:line="600" w:lineRule="exact"/>
        <w:ind w:firstLine="646"/>
        <w:outlineLvl w:val="0"/>
        <w:rPr>
          <w:rFonts w:eastAsia="黑体"/>
          <w:sz w:val="32"/>
          <w:szCs w:val="32"/>
        </w:rPr>
      </w:pPr>
      <w:r>
        <w:rPr>
          <w:rFonts w:eastAsia="黑体"/>
          <w:sz w:val="32"/>
          <w:szCs w:val="32"/>
        </w:rPr>
        <w:lastRenderedPageBreak/>
        <w:t>二、案件举报情况分析</w:t>
      </w:r>
    </w:p>
    <w:p w:rsidR="00B739E3" w:rsidRPr="000903EE" w:rsidRDefault="000903EE">
      <w:pPr>
        <w:overflowPunct w:val="0"/>
        <w:topLinePunct/>
        <w:spacing w:line="600" w:lineRule="exact"/>
        <w:ind w:firstLine="646"/>
        <w:outlineLvl w:val="0"/>
        <w:rPr>
          <w:rFonts w:eastAsia="楷体_GB2312" w:cs="楷体_GB2312"/>
          <w:b/>
          <w:sz w:val="32"/>
          <w:szCs w:val="32"/>
        </w:rPr>
      </w:pPr>
      <w:r>
        <w:rPr>
          <w:rFonts w:eastAsia="仿宋_GB2312" w:hint="eastAsia"/>
          <w:b/>
          <w:bCs/>
          <w:sz w:val="32"/>
          <w:szCs w:val="32"/>
        </w:rPr>
        <w:t>（一）</w:t>
      </w:r>
      <w:r w:rsidR="00E53319" w:rsidRPr="000903EE">
        <w:rPr>
          <w:rFonts w:eastAsia="楷体_GB2312" w:cs="楷体_GB2312" w:hint="eastAsia"/>
          <w:b/>
          <w:sz w:val="32"/>
          <w:szCs w:val="32"/>
        </w:rPr>
        <w:t>全省电话</w:t>
      </w:r>
      <w:proofErr w:type="gramStart"/>
      <w:r w:rsidR="00E53319" w:rsidRPr="000903EE">
        <w:rPr>
          <w:rFonts w:eastAsia="楷体_GB2312" w:cs="楷体_GB2312" w:hint="eastAsia"/>
          <w:b/>
          <w:sz w:val="32"/>
          <w:szCs w:val="32"/>
        </w:rPr>
        <w:t>举报量环比</w:t>
      </w:r>
      <w:proofErr w:type="gramEnd"/>
      <w:r w:rsidR="00E53319" w:rsidRPr="000903EE">
        <w:rPr>
          <w:rFonts w:eastAsia="楷体_GB2312" w:cs="楷体_GB2312" w:hint="eastAsia"/>
          <w:b/>
          <w:sz w:val="32"/>
          <w:szCs w:val="32"/>
        </w:rPr>
        <w:t>上升约两成。</w:t>
      </w:r>
    </w:p>
    <w:p w:rsidR="00B739E3" w:rsidRPr="005A06DF" w:rsidRDefault="00E53319">
      <w:pPr>
        <w:overflowPunct w:val="0"/>
        <w:topLinePunct/>
        <w:spacing w:line="600" w:lineRule="exact"/>
        <w:ind w:firstLine="646"/>
        <w:outlineLvl w:val="0"/>
        <w:rPr>
          <w:rFonts w:eastAsia="仿宋_GB2312" w:cs="楷体_GB2312"/>
          <w:b/>
          <w:bCs/>
          <w:sz w:val="32"/>
          <w:szCs w:val="32"/>
        </w:rPr>
      </w:pPr>
      <w:r>
        <w:rPr>
          <w:rFonts w:eastAsia="仿宋_GB2312" w:hint="eastAsia"/>
          <w:sz w:val="32"/>
          <w:szCs w:val="32"/>
        </w:rPr>
        <w:t>7</w:t>
      </w:r>
      <w:r>
        <w:rPr>
          <w:rFonts w:eastAsia="仿宋_GB2312" w:hint="eastAsia"/>
          <w:sz w:val="32"/>
          <w:szCs w:val="32"/>
        </w:rPr>
        <w:t>月，全省“</w:t>
      </w:r>
      <w:r>
        <w:rPr>
          <w:rFonts w:eastAsia="仿宋_GB2312" w:hint="eastAsia"/>
          <w:sz w:val="32"/>
          <w:szCs w:val="32"/>
        </w:rPr>
        <w:t>12369</w:t>
      </w:r>
      <w:r>
        <w:rPr>
          <w:rFonts w:eastAsia="仿宋_GB2312" w:hint="eastAsia"/>
          <w:sz w:val="32"/>
          <w:szCs w:val="32"/>
        </w:rPr>
        <w:t>环境举报联网管理平台”共接受群众举报</w:t>
      </w:r>
      <w:r>
        <w:rPr>
          <w:rFonts w:eastAsia="仿宋_GB2312" w:hint="eastAsia"/>
          <w:sz w:val="32"/>
          <w:szCs w:val="32"/>
        </w:rPr>
        <w:t>668</w:t>
      </w:r>
      <w:r>
        <w:rPr>
          <w:rFonts w:eastAsia="仿宋_GB2312" w:hint="eastAsia"/>
          <w:sz w:val="32"/>
          <w:szCs w:val="32"/>
        </w:rPr>
        <w:t>件，环比下降</w:t>
      </w:r>
      <w:r>
        <w:rPr>
          <w:rFonts w:eastAsia="仿宋_GB2312" w:hint="eastAsia"/>
          <w:sz w:val="32"/>
          <w:szCs w:val="32"/>
        </w:rPr>
        <w:t>25.5</w:t>
      </w:r>
      <w:r>
        <w:rPr>
          <w:rFonts w:eastAsia="仿宋_GB2312"/>
          <w:sz w:val="32"/>
          <w:szCs w:val="32"/>
        </w:rPr>
        <w:t>%</w:t>
      </w:r>
      <w:r>
        <w:rPr>
          <w:rFonts w:eastAsia="仿宋_GB2312" w:hint="eastAsia"/>
          <w:sz w:val="32"/>
          <w:szCs w:val="32"/>
        </w:rPr>
        <w:t>，同比下降</w:t>
      </w:r>
      <w:r>
        <w:rPr>
          <w:rFonts w:eastAsia="仿宋_GB2312" w:hint="eastAsia"/>
          <w:sz w:val="32"/>
          <w:szCs w:val="32"/>
        </w:rPr>
        <w:t>49.7%</w:t>
      </w:r>
      <w:r>
        <w:rPr>
          <w:rFonts w:eastAsia="仿宋_GB2312" w:hint="eastAsia"/>
          <w:sz w:val="32"/>
          <w:szCs w:val="32"/>
        </w:rPr>
        <w:t>。其中电话举报环比上升</w:t>
      </w:r>
      <w:r>
        <w:rPr>
          <w:rFonts w:eastAsia="仿宋_GB2312" w:hint="eastAsia"/>
          <w:sz w:val="32"/>
          <w:szCs w:val="32"/>
        </w:rPr>
        <w:t>19.8</w:t>
      </w:r>
      <w:r>
        <w:rPr>
          <w:rFonts w:eastAsia="仿宋_GB2312"/>
          <w:sz w:val="32"/>
          <w:szCs w:val="32"/>
        </w:rPr>
        <w:t>%</w:t>
      </w:r>
      <w:r>
        <w:rPr>
          <w:rFonts w:eastAsia="仿宋_GB2312" w:hint="eastAsia"/>
          <w:sz w:val="32"/>
          <w:szCs w:val="32"/>
        </w:rPr>
        <w:t>，同比下降</w:t>
      </w:r>
      <w:r>
        <w:rPr>
          <w:rFonts w:eastAsia="仿宋_GB2312" w:hint="eastAsia"/>
          <w:sz w:val="32"/>
          <w:szCs w:val="32"/>
        </w:rPr>
        <w:t>56.1%</w:t>
      </w:r>
      <w:r>
        <w:rPr>
          <w:rFonts w:eastAsia="仿宋_GB2312" w:hint="eastAsia"/>
          <w:sz w:val="32"/>
          <w:szCs w:val="32"/>
        </w:rPr>
        <w:t>；</w:t>
      </w:r>
      <w:proofErr w:type="gramStart"/>
      <w:r>
        <w:rPr>
          <w:rFonts w:eastAsia="仿宋_GB2312" w:hint="eastAsia"/>
          <w:sz w:val="32"/>
          <w:szCs w:val="32"/>
        </w:rPr>
        <w:t>微信举报</w:t>
      </w:r>
      <w:proofErr w:type="gramEnd"/>
      <w:r>
        <w:rPr>
          <w:rFonts w:eastAsia="仿宋_GB2312" w:hint="eastAsia"/>
          <w:sz w:val="32"/>
          <w:szCs w:val="32"/>
        </w:rPr>
        <w:t>环比下降</w:t>
      </w:r>
      <w:r>
        <w:rPr>
          <w:rFonts w:eastAsia="仿宋_GB2312" w:hint="eastAsia"/>
          <w:sz w:val="32"/>
          <w:szCs w:val="32"/>
        </w:rPr>
        <w:t>43.5</w:t>
      </w:r>
      <w:r>
        <w:rPr>
          <w:rFonts w:eastAsia="仿宋_GB2312"/>
          <w:sz w:val="32"/>
          <w:szCs w:val="32"/>
        </w:rPr>
        <w:t>%</w:t>
      </w:r>
      <w:r>
        <w:rPr>
          <w:rFonts w:eastAsia="仿宋_GB2312" w:hint="eastAsia"/>
          <w:sz w:val="32"/>
          <w:szCs w:val="32"/>
        </w:rPr>
        <w:t>，同比下降</w:t>
      </w:r>
      <w:r>
        <w:rPr>
          <w:rFonts w:eastAsia="仿宋_GB2312" w:hint="eastAsia"/>
          <w:sz w:val="32"/>
          <w:szCs w:val="32"/>
        </w:rPr>
        <w:t>4</w:t>
      </w:r>
      <w:r>
        <w:rPr>
          <w:rFonts w:eastAsia="仿宋_GB2312"/>
          <w:sz w:val="32"/>
          <w:szCs w:val="32"/>
        </w:rPr>
        <w:t>3.5</w:t>
      </w:r>
      <w:r>
        <w:rPr>
          <w:rFonts w:eastAsia="仿宋_GB2312" w:hint="eastAsia"/>
          <w:sz w:val="32"/>
          <w:szCs w:val="32"/>
        </w:rPr>
        <w:t>%</w:t>
      </w:r>
      <w:r>
        <w:rPr>
          <w:rFonts w:eastAsia="仿宋_GB2312" w:hint="eastAsia"/>
          <w:sz w:val="32"/>
          <w:szCs w:val="32"/>
        </w:rPr>
        <w:t>；网络举报环比下降</w:t>
      </w:r>
      <w:r>
        <w:rPr>
          <w:rFonts w:eastAsia="仿宋_GB2312" w:hint="eastAsia"/>
          <w:sz w:val="32"/>
          <w:szCs w:val="32"/>
        </w:rPr>
        <w:t>35</w:t>
      </w:r>
      <w:r>
        <w:rPr>
          <w:rFonts w:eastAsia="仿宋_GB2312"/>
          <w:sz w:val="32"/>
          <w:szCs w:val="32"/>
        </w:rPr>
        <w:t>%</w:t>
      </w:r>
      <w:r>
        <w:rPr>
          <w:rFonts w:eastAsia="仿宋_GB2312" w:hint="eastAsia"/>
          <w:sz w:val="32"/>
          <w:szCs w:val="32"/>
        </w:rPr>
        <w:t>，同比下降</w:t>
      </w:r>
      <w:r>
        <w:rPr>
          <w:rFonts w:eastAsia="仿宋_GB2312"/>
          <w:sz w:val="32"/>
          <w:szCs w:val="32"/>
        </w:rPr>
        <w:t>44.5%</w:t>
      </w:r>
      <w:r>
        <w:rPr>
          <w:rFonts w:eastAsia="仿宋_GB2312" w:hint="eastAsia"/>
          <w:sz w:val="32"/>
          <w:szCs w:val="32"/>
        </w:rPr>
        <w:t>。</w:t>
      </w:r>
    </w:p>
    <w:p w:rsidR="00B739E3" w:rsidRPr="000903EE" w:rsidRDefault="000903EE">
      <w:pPr>
        <w:overflowPunct w:val="0"/>
        <w:topLinePunct/>
        <w:spacing w:line="600" w:lineRule="exact"/>
        <w:ind w:firstLine="646"/>
        <w:outlineLvl w:val="0"/>
        <w:rPr>
          <w:rFonts w:eastAsia="楷体_GB2312" w:cs="楷体_GB2312"/>
          <w:b/>
          <w:sz w:val="32"/>
          <w:szCs w:val="32"/>
        </w:rPr>
      </w:pPr>
      <w:r>
        <w:rPr>
          <w:rFonts w:eastAsia="楷体_GB2312" w:cs="楷体_GB2312" w:hint="eastAsia"/>
          <w:b/>
          <w:sz w:val="32"/>
          <w:szCs w:val="32"/>
        </w:rPr>
        <w:t>（二）</w:t>
      </w:r>
      <w:r w:rsidR="00E53319" w:rsidRPr="000903EE">
        <w:rPr>
          <w:rFonts w:eastAsia="楷体_GB2312" w:cs="楷体_GB2312" w:hint="eastAsia"/>
          <w:b/>
          <w:sz w:val="32"/>
          <w:szCs w:val="32"/>
        </w:rPr>
        <w:t>辐射及其他污染</w:t>
      </w:r>
      <w:proofErr w:type="gramStart"/>
      <w:r w:rsidR="00E53319" w:rsidRPr="000903EE">
        <w:rPr>
          <w:rFonts w:eastAsia="楷体_GB2312" w:cs="楷体_GB2312" w:hint="eastAsia"/>
          <w:b/>
          <w:sz w:val="32"/>
          <w:szCs w:val="32"/>
        </w:rPr>
        <w:t>举报量环比</w:t>
      </w:r>
      <w:proofErr w:type="gramEnd"/>
      <w:r w:rsidR="00E53319" w:rsidRPr="000903EE">
        <w:rPr>
          <w:rFonts w:eastAsia="楷体_GB2312" w:cs="楷体_GB2312" w:hint="eastAsia"/>
          <w:b/>
          <w:sz w:val="32"/>
          <w:szCs w:val="32"/>
        </w:rPr>
        <w:t>上升约四成。</w:t>
      </w:r>
    </w:p>
    <w:p w:rsidR="00B739E3" w:rsidRDefault="00E53319">
      <w:pPr>
        <w:spacing w:line="620" w:lineRule="exact"/>
        <w:ind w:firstLineChars="200" w:firstLine="640"/>
        <w:rPr>
          <w:rFonts w:eastAsia="仿宋_GB2312"/>
          <w:sz w:val="32"/>
          <w:szCs w:val="32"/>
        </w:rPr>
      </w:pPr>
      <w:r>
        <w:rPr>
          <w:rFonts w:eastAsia="仿宋_GB2312" w:hint="eastAsia"/>
          <w:sz w:val="32"/>
          <w:szCs w:val="32"/>
        </w:rPr>
        <w:t>从污染类型看，反映大气污染问题</w:t>
      </w:r>
      <w:r>
        <w:rPr>
          <w:rFonts w:eastAsia="仿宋_GB2312" w:hint="eastAsia"/>
          <w:sz w:val="32"/>
          <w:szCs w:val="32"/>
        </w:rPr>
        <w:t>437</w:t>
      </w:r>
      <w:r>
        <w:rPr>
          <w:rFonts w:eastAsia="仿宋_GB2312" w:hint="eastAsia"/>
          <w:sz w:val="32"/>
          <w:szCs w:val="32"/>
        </w:rPr>
        <w:t>件，占比</w:t>
      </w:r>
      <w:r>
        <w:rPr>
          <w:rFonts w:eastAsia="仿宋_GB2312" w:hint="eastAsia"/>
          <w:sz w:val="32"/>
          <w:szCs w:val="32"/>
        </w:rPr>
        <w:t>36%</w:t>
      </w:r>
      <w:r>
        <w:rPr>
          <w:rFonts w:eastAsia="仿宋_GB2312" w:hint="eastAsia"/>
          <w:sz w:val="32"/>
          <w:szCs w:val="32"/>
        </w:rPr>
        <w:t>；噪声污染、水污染、固废污染、辐射及其他分别占</w:t>
      </w:r>
      <w:r>
        <w:rPr>
          <w:rFonts w:eastAsia="仿宋_GB2312" w:hint="eastAsia"/>
          <w:sz w:val="32"/>
          <w:szCs w:val="32"/>
        </w:rPr>
        <w:t>31%</w:t>
      </w:r>
      <w:r>
        <w:rPr>
          <w:rFonts w:eastAsia="仿宋_GB2312" w:hint="eastAsia"/>
          <w:sz w:val="32"/>
          <w:szCs w:val="32"/>
        </w:rPr>
        <w:t>、</w:t>
      </w:r>
      <w:r>
        <w:rPr>
          <w:rFonts w:eastAsia="仿宋_GB2312" w:hint="eastAsia"/>
          <w:sz w:val="32"/>
          <w:szCs w:val="32"/>
        </w:rPr>
        <w:t>19%</w:t>
      </w:r>
      <w:r>
        <w:rPr>
          <w:rFonts w:eastAsia="仿宋_GB2312" w:hint="eastAsia"/>
          <w:sz w:val="32"/>
          <w:szCs w:val="32"/>
        </w:rPr>
        <w:t>、</w:t>
      </w:r>
      <w:r>
        <w:rPr>
          <w:rFonts w:eastAsia="仿宋_GB2312" w:hint="eastAsia"/>
          <w:sz w:val="32"/>
          <w:szCs w:val="32"/>
        </w:rPr>
        <w:t>5%</w:t>
      </w:r>
      <w:r>
        <w:rPr>
          <w:rFonts w:eastAsia="仿宋_GB2312" w:hint="eastAsia"/>
          <w:sz w:val="32"/>
          <w:szCs w:val="32"/>
        </w:rPr>
        <w:t>、</w:t>
      </w:r>
      <w:r>
        <w:rPr>
          <w:rFonts w:eastAsia="仿宋_GB2312" w:hint="eastAsia"/>
          <w:sz w:val="32"/>
          <w:szCs w:val="32"/>
        </w:rPr>
        <w:t>9%</w:t>
      </w:r>
      <w:r>
        <w:rPr>
          <w:rFonts w:eastAsia="仿宋_GB2312" w:hint="eastAsia"/>
          <w:sz w:val="32"/>
          <w:szCs w:val="32"/>
        </w:rPr>
        <w:t>。反映辐射及其他污染、水污染、大气污染、噪声污染问题数分别环比上升</w:t>
      </w:r>
      <w:r>
        <w:rPr>
          <w:rFonts w:eastAsia="仿宋_GB2312" w:hint="eastAsia"/>
          <w:sz w:val="32"/>
          <w:szCs w:val="32"/>
        </w:rPr>
        <w:t>36.7%</w:t>
      </w:r>
      <w:r>
        <w:rPr>
          <w:rFonts w:eastAsia="仿宋_GB2312" w:hint="eastAsia"/>
          <w:sz w:val="32"/>
          <w:szCs w:val="32"/>
        </w:rPr>
        <w:t>、</w:t>
      </w:r>
      <w:r>
        <w:rPr>
          <w:rFonts w:eastAsia="仿宋_GB2312" w:hint="eastAsia"/>
          <w:sz w:val="32"/>
          <w:szCs w:val="32"/>
        </w:rPr>
        <w:t>27.9%</w:t>
      </w:r>
      <w:r>
        <w:rPr>
          <w:rFonts w:eastAsia="仿宋_GB2312" w:hint="eastAsia"/>
          <w:sz w:val="32"/>
          <w:szCs w:val="32"/>
        </w:rPr>
        <w:t>、</w:t>
      </w:r>
      <w:r>
        <w:rPr>
          <w:rFonts w:eastAsia="仿宋_GB2312" w:hint="eastAsia"/>
          <w:sz w:val="32"/>
          <w:szCs w:val="32"/>
        </w:rPr>
        <w:t>11.4%</w:t>
      </w:r>
      <w:r>
        <w:rPr>
          <w:rFonts w:eastAsia="仿宋_GB2312" w:hint="eastAsia"/>
          <w:sz w:val="32"/>
          <w:szCs w:val="32"/>
        </w:rPr>
        <w:t>、</w:t>
      </w:r>
      <w:r>
        <w:rPr>
          <w:rFonts w:eastAsia="仿宋_GB2312" w:hint="eastAsia"/>
          <w:sz w:val="32"/>
          <w:szCs w:val="32"/>
        </w:rPr>
        <w:t>10.4%</w:t>
      </w:r>
      <w:r>
        <w:rPr>
          <w:rFonts w:eastAsia="仿宋_GB2312" w:hint="eastAsia"/>
          <w:sz w:val="32"/>
          <w:szCs w:val="32"/>
        </w:rPr>
        <w:t>，反映固</w:t>
      </w:r>
      <w:proofErr w:type="gramStart"/>
      <w:r>
        <w:rPr>
          <w:rFonts w:eastAsia="仿宋_GB2312" w:hint="eastAsia"/>
          <w:sz w:val="32"/>
          <w:szCs w:val="32"/>
        </w:rPr>
        <w:t>废污染问题数环</w:t>
      </w:r>
      <w:proofErr w:type="gramEnd"/>
      <w:r>
        <w:rPr>
          <w:rFonts w:eastAsia="仿宋_GB2312" w:hint="eastAsia"/>
          <w:sz w:val="32"/>
          <w:szCs w:val="32"/>
        </w:rPr>
        <w:t>比下降</w:t>
      </w:r>
      <w:r>
        <w:rPr>
          <w:rFonts w:eastAsia="仿宋_GB2312" w:hint="eastAsia"/>
          <w:sz w:val="32"/>
          <w:szCs w:val="32"/>
        </w:rPr>
        <w:t>14.8%</w:t>
      </w:r>
      <w:r>
        <w:rPr>
          <w:rFonts w:eastAsia="仿宋_GB2312" w:hint="eastAsia"/>
          <w:sz w:val="32"/>
          <w:szCs w:val="32"/>
        </w:rPr>
        <w:t>。</w:t>
      </w:r>
    </w:p>
    <w:p w:rsidR="00B739E3" w:rsidRDefault="00E53319">
      <w:pPr>
        <w:spacing w:line="620" w:lineRule="exact"/>
        <w:ind w:firstLineChars="200" w:firstLine="640"/>
        <w:rPr>
          <w:rFonts w:eastAsia="仿宋_GB2312"/>
          <w:color w:val="FF0000"/>
          <w:sz w:val="32"/>
          <w:szCs w:val="32"/>
        </w:rPr>
      </w:pPr>
      <w:r>
        <w:rPr>
          <w:rFonts w:eastAsia="仿宋_GB2312" w:hint="eastAsia"/>
          <w:sz w:val="32"/>
          <w:szCs w:val="32"/>
        </w:rPr>
        <w:t>大气污染投诉中，反映化工和非金属制造类企业生产过程中散发刺激性气味及养殖恶臭污染的问题较突出，分别占大气污染投诉的</w:t>
      </w:r>
      <w:r>
        <w:rPr>
          <w:rFonts w:eastAsia="仿宋_GB2312" w:hint="eastAsia"/>
          <w:sz w:val="32"/>
          <w:szCs w:val="32"/>
        </w:rPr>
        <w:t>13.5%</w:t>
      </w:r>
      <w:r>
        <w:rPr>
          <w:rFonts w:eastAsia="仿宋_GB2312" w:hint="eastAsia"/>
          <w:sz w:val="32"/>
          <w:szCs w:val="32"/>
        </w:rPr>
        <w:t>、</w:t>
      </w:r>
      <w:r>
        <w:rPr>
          <w:rFonts w:eastAsia="仿宋_GB2312" w:hint="eastAsia"/>
          <w:sz w:val="32"/>
          <w:szCs w:val="32"/>
        </w:rPr>
        <w:t>5%</w:t>
      </w:r>
      <w:r>
        <w:rPr>
          <w:rFonts w:eastAsia="仿宋_GB2312" w:hint="eastAsia"/>
          <w:sz w:val="32"/>
          <w:szCs w:val="32"/>
        </w:rPr>
        <w:t>。噪声污染投诉中，反映问题</w:t>
      </w:r>
      <w:proofErr w:type="gramStart"/>
      <w:r>
        <w:rPr>
          <w:rFonts w:eastAsia="仿宋_GB2312" w:hint="eastAsia"/>
          <w:sz w:val="32"/>
          <w:szCs w:val="32"/>
        </w:rPr>
        <w:t>占比较</w:t>
      </w:r>
      <w:proofErr w:type="gramEnd"/>
      <w:r>
        <w:rPr>
          <w:rFonts w:eastAsia="仿宋_GB2312" w:hint="eastAsia"/>
          <w:sz w:val="32"/>
          <w:szCs w:val="32"/>
        </w:rPr>
        <w:t>多的是住宿餐饮娱乐类和建筑施工类社会生活噪声，分别占噪声污染投诉的</w:t>
      </w:r>
      <w:r>
        <w:rPr>
          <w:rFonts w:eastAsia="仿宋_GB2312"/>
          <w:sz w:val="32"/>
          <w:szCs w:val="32"/>
        </w:rPr>
        <w:t>14.1%</w:t>
      </w:r>
      <w:r>
        <w:rPr>
          <w:rFonts w:eastAsia="仿宋_GB2312" w:hint="eastAsia"/>
          <w:sz w:val="32"/>
          <w:szCs w:val="32"/>
        </w:rPr>
        <w:t>、</w:t>
      </w:r>
      <w:r>
        <w:rPr>
          <w:rFonts w:eastAsia="仿宋_GB2312"/>
          <w:sz w:val="32"/>
          <w:szCs w:val="32"/>
        </w:rPr>
        <w:t>6.4%</w:t>
      </w:r>
      <w:r>
        <w:rPr>
          <w:rFonts w:eastAsia="仿宋_GB2312" w:hint="eastAsia"/>
          <w:sz w:val="32"/>
          <w:szCs w:val="32"/>
        </w:rPr>
        <w:t>。水污染投诉中，反映畜禽养殖企业粪污乱排和</w:t>
      </w:r>
      <w:proofErr w:type="gramStart"/>
      <w:r>
        <w:rPr>
          <w:rFonts w:eastAsia="仿宋_GB2312" w:hint="eastAsia"/>
          <w:sz w:val="32"/>
          <w:szCs w:val="32"/>
        </w:rPr>
        <w:t>农副食品</w:t>
      </w:r>
      <w:proofErr w:type="gramEnd"/>
      <w:r>
        <w:rPr>
          <w:rFonts w:eastAsia="仿宋_GB2312" w:hint="eastAsia"/>
          <w:sz w:val="32"/>
          <w:szCs w:val="32"/>
        </w:rPr>
        <w:t>加工类企业偷排直排至地表水体造成的污染问题量较多，分别占水污染投诉的</w:t>
      </w:r>
      <w:r>
        <w:rPr>
          <w:rFonts w:eastAsia="仿宋_GB2312" w:hint="eastAsia"/>
          <w:sz w:val="32"/>
          <w:szCs w:val="32"/>
        </w:rPr>
        <w:t>17.9%</w:t>
      </w:r>
      <w:r>
        <w:rPr>
          <w:rFonts w:eastAsia="仿宋_GB2312" w:hint="eastAsia"/>
          <w:sz w:val="32"/>
          <w:szCs w:val="32"/>
        </w:rPr>
        <w:t>、</w:t>
      </w:r>
      <w:r>
        <w:rPr>
          <w:rFonts w:eastAsia="仿宋_GB2312" w:hint="eastAsia"/>
          <w:sz w:val="32"/>
          <w:szCs w:val="32"/>
        </w:rPr>
        <w:t>5.1%</w:t>
      </w:r>
      <w:r>
        <w:rPr>
          <w:rFonts w:eastAsia="仿宋_GB2312" w:hint="eastAsia"/>
          <w:sz w:val="32"/>
          <w:szCs w:val="32"/>
        </w:rPr>
        <w:t>，环比上升</w:t>
      </w:r>
      <w:r>
        <w:rPr>
          <w:rFonts w:eastAsia="仿宋_GB2312" w:hint="eastAsia"/>
          <w:sz w:val="32"/>
          <w:szCs w:val="32"/>
        </w:rPr>
        <w:t>5.5%</w:t>
      </w:r>
      <w:r>
        <w:rPr>
          <w:rFonts w:eastAsia="仿宋_GB2312" w:hint="eastAsia"/>
          <w:sz w:val="32"/>
          <w:szCs w:val="32"/>
        </w:rPr>
        <w:t>、</w:t>
      </w:r>
      <w:r>
        <w:rPr>
          <w:rFonts w:eastAsia="仿宋_GB2312"/>
          <w:sz w:val="32"/>
          <w:szCs w:val="32"/>
        </w:rPr>
        <w:t>0.4</w:t>
      </w:r>
      <w:r>
        <w:rPr>
          <w:rFonts w:eastAsia="仿宋_GB2312" w:hint="eastAsia"/>
          <w:sz w:val="32"/>
          <w:szCs w:val="32"/>
        </w:rPr>
        <w:t>%</w:t>
      </w:r>
      <w:r>
        <w:rPr>
          <w:rFonts w:eastAsia="仿宋_GB2312" w:hint="eastAsia"/>
          <w:sz w:val="32"/>
          <w:szCs w:val="32"/>
        </w:rPr>
        <w:t>。辐射及其他污染投诉中，反映基站和医院电磁设备运行中产生辐射，分别占比</w:t>
      </w:r>
      <w:r>
        <w:rPr>
          <w:rFonts w:eastAsia="仿宋_GB2312"/>
          <w:sz w:val="32"/>
          <w:szCs w:val="32"/>
        </w:rPr>
        <w:t>72.7%</w:t>
      </w:r>
      <w:r>
        <w:rPr>
          <w:rFonts w:eastAsia="仿宋_GB2312" w:hint="eastAsia"/>
          <w:sz w:val="32"/>
          <w:szCs w:val="32"/>
        </w:rPr>
        <w:t>、</w:t>
      </w:r>
      <w:r>
        <w:rPr>
          <w:rFonts w:eastAsia="仿宋_GB2312" w:hint="eastAsia"/>
          <w:sz w:val="32"/>
          <w:szCs w:val="32"/>
        </w:rPr>
        <w:t>27.3%</w:t>
      </w:r>
      <w:r>
        <w:rPr>
          <w:rFonts w:eastAsia="仿宋_GB2312" w:hint="eastAsia"/>
          <w:sz w:val="32"/>
          <w:szCs w:val="32"/>
        </w:rPr>
        <w:t>。</w:t>
      </w:r>
    </w:p>
    <w:p w:rsidR="00B739E3" w:rsidRDefault="00B739E3">
      <w:pPr>
        <w:overflowPunct w:val="0"/>
        <w:topLinePunct/>
        <w:spacing w:line="300" w:lineRule="exact"/>
        <w:outlineLvl w:val="0"/>
        <w:rPr>
          <w:rFonts w:eastAsia="仿宋_GB2312"/>
          <w:color w:val="FF0000"/>
          <w:sz w:val="32"/>
          <w:szCs w:val="32"/>
        </w:rPr>
      </w:pPr>
    </w:p>
    <w:p w:rsidR="00B739E3" w:rsidRDefault="00E53319">
      <w:pPr>
        <w:overflowPunct w:val="0"/>
        <w:topLinePunct/>
        <w:spacing w:line="720" w:lineRule="auto"/>
        <w:outlineLvl w:val="0"/>
        <w:rPr>
          <w:rFonts w:eastAsia="黑体"/>
          <w:sz w:val="28"/>
          <w:szCs w:val="32"/>
        </w:rPr>
      </w:pPr>
      <w:r w:rsidRPr="001A50AC">
        <w:rPr>
          <w:noProof/>
        </w:rPr>
        <w:lastRenderedPageBreak/>
        <w:drawing>
          <wp:inline distT="0" distB="0" distL="114300" distR="114300">
            <wp:extent cx="2693035" cy="2152650"/>
            <wp:effectExtent l="0" t="0" r="12065" b="0"/>
            <wp:docPr id="10" name="图片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A50AC">
        <w:rPr>
          <w:noProof/>
        </w:rPr>
        <w:drawing>
          <wp:inline distT="0" distB="0" distL="114300" distR="114300">
            <wp:extent cx="2667000" cy="2339340"/>
            <wp:effectExtent l="0" t="0" r="0" b="3810"/>
            <wp:docPr id="11" name="图片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39E3" w:rsidRDefault="00E53319">
      <w:pPr>
        <w:overflowPunct w:val="0"/>
        <w:topLinePunct/>
        <w:spacing w:line="500" w:lineRule="exact"/>
        <w:jc w:val="center"/>
        <w:outlineLvl w:val="0"/>
        <w:rPr>
          <w:rFonts w:eastAsia="黑体"/>
          <w:sz w:val="28"/>
          <w:szCs w:val="32"/>
        </w:rPr>
      </w:pPr>
      <w:r>
        <w:rPr>
          <w:rFonts w:eastAsia="黑体" w:hint="eastAsia"/>
          <w:sz w:val="28"/>
          <w:szCs w:val="32"/>
        </w:rPr>
        <w:t>图</w:t>
      </w:r>
      <w:r w:rsidR="000903EE">
        <w:rPr>
          <w:rFonts w:eastAsia="黑体"/>
          <w:sz w:val="28"/>
          <w:szCs w:val="32"/>
        </w:rPr>
        <w:t>2</w:t>
      </w:r>
      <w:r>
        <w:rPr>
          <w:rFonts w:eastAsia="黑体" w:hint="eastAsia"/>
          <w:sz w:val="28"/>
          <w:szCs w:val="32"/>
        </w:rPr>
        <w:t xml:space="preserve"> </w:t>
      </w:r>
      <w:r>
        <w:rPr>
          <w:rFonts w:eastAsia="黑体"/>
          <w:sz w:val="28"/>
          <w:szCs w:val="32"/>
        </w:rPr>
        <w:t xml:space="preserve"> </w:t>
      </w:r>
      <w:r>
        <w:rPr>
          <w:rFonts w:eastAsia="黑体" w:hint="eastAsia"/>
          <w:sz w:val="28"/>
          <w:szCs w:val="32"/>
        </w:rPr>
        <w:t>2019</w:t>
      </w:r>
      <w:r>
        <w:rPr>
          <w:rFonts w:eastAsia="黑体" w:hint="eastAsia"/>
          <w:sz w:val="28"/>
          <w:szCs w:val="32"/>
        </w:rPr>
        <w:t>年</w:t>
      </w:r>
      <w:r>
        <w:rPr>
          <w:rFonts w:eastAsia="黑体" w:hint="eastAsia"/>
          <w:sz w:val="28"/>
          <w:szCs w:val="32"/>
        </w:rPr>
        <w:t>7</w:t>
      </w:r>
      <w:r>
        <w:rPr>
          <w:rFonts w:eastAsia="黑体" w:hint="eastAsia"/>
          <w:sz w:val="28"/>
          <w:szCs w:val="32"/>
        </w:rPr>
        <w:t>月各污染类型投诉占比</w:t>
      </w:r>
    </w:p>
    <w:p w:rsidR="00B739E3" w:rsidRDefault="00B739E3">
      <w:pPr>
        <w:overflowPunct w:val="0"/>
        <w:topLinePunct/>
        <w:spacing w:line="300" w:lineRule="exact"/>
        <w:outlineLvl w:val="0"/>
        <w:rPr>
          <w:rFonts w:eastAsia="黑体"/>
          <w:color w:val="FF0000"/>
          <w:sz w:val="28"/>
          <w:szCs w:val="32"/>
        </w:rPr>
      </w:pPr>
    </w:p>
    <w:p w:rsidR="00B739E3" w:rsidRPr="000903EE" w:rsidRDefault="000903EE">
      <w:pPr>
        <w:overflowPunct w:val="0"/>
        <w:topLinePunct/>
        <w:spacing w:line="600" w:lineRule="exact"/>
        <w:ind w:firstLine="646"/>
        <w:outlineLvl w:val="0"/>
        <w:rPr>
          <w:rFonts w:eastAsia="楷体_GB2312" w:cs="楷体_GB2312"/>
          <w:b/>
          <w:sz w:val="32"/>
          <w:szCs w:val="32"/>
        </w:rPr>
      </w:pPr>
      <w:r>
        <w:rPr>
          <w:rFonts w:eastAsia="楷体_GB2312" w:cs="楷体_GB2312" w:hint="eastAsia"/>
          <w:b/>
          <w:sz w:val="32"/>
          <w:szCs w:val="32"/>
        </w:rPr>
        <w:t>（三）</w:t>
      </w:r>
      <w:r w:rsidR="00E53319" w:rsidRPr="000903EE">
        <w:rPr>
          <w:rFonts w:eastAsia="楷体_GB2312" w:cs="楷体_GB2312" w:hint="eastAsia"/>
          <w:b/>
          <w:sz w:val="32"/>
          <w:szCs w:val="32"/>
        </w:rPr>
        <w:t>化工行业</w:t>
      </w:r>
      <w:proofErr w:type="gramStart"/>
      <w:r w:rsidR="00E53319" w:rsidRPr="000903EE">
        <w:rPr>
          <w:rFonts w:eastAsia="楷体_GB2312" w:cs="楷体_GB2312" w:hint="eastAsia"/>
          <w:b/>
          <w:sz w:val="32"/>
          <w:szCs w:val="32"/>
        </w:rPr>
        <w:t>投诉量环比</w:t>
      </w:r>
      <w:proofErr w:type="gramEnd"/>
      <w:r w:rsidR="00E53319" w:rsidRPr="000903EE">
        <w:rPr>
          <w:rFonts w:eastAsia="楷体_GB2312" w:cs="楷体_GB2312" w:hint="eastAsia"/>
          <w:b/>
          <w:sz w:val="32"/>
          <w:szCs w:val="32"/>
        </w:rPr>
        <w:t>增长五成。</w:t>
      </w:r>
    </w:p>
    <w:p w:rsidR="00B739E3" w:rsidRDefault="00E53319">
      <w:pPr>
        <w:spacing w:line="620" w:lineRule="exact"/>
        <w:ind w:firstLineChars="200" w:firstLine="640"/>
        <w:rPr>
          <w:rFonts w:eastAsia="仿宋_GB2312"/>
          <w:b/>
          <w:sz w:val="32"/>
          <w:szCs w:val="32"/>
        </w:rPr>
      </w:pPr>
      <w:r>
        <w:rPr>
          <w:rFonts w:eastAsia="仿宋_GB2312" w:hint="eastAsia"/>
          <w:sz w:val="32"/>
          <w:szCs w:val="32"/>
        </w:rPr>
        <w:t>从全省环境举报投诉类型上看，反映问题主要集中在畜禽养殖、化工、住宿餐饮娱乐、农副食品加工、非金属加工制造、建筑、采矿、垃圾处理、造纸及纸制品、水泥玻璃。其中，涉及化工行业</w:t>
      </w:r>
      <w:proofErr w:type="gramStart"/>
      <w:r>
        <w:rPr>
          <w:rFonts w:eastAsia="仿宋_GB2312" w:hint="eastAsia"/>
          <w:sz w:val="32"/>
          <w:szCs w:val="32"/>
        </w:rPr>
        <w:t>投诉量环比</w:t>
      </w:r>
      <w:proofErr w:type="gramEnd"/>
      <w:r>
        <w:rPr>
          <w:rFonts w:eastAsia="仿宋_GB2312" w:hint="eastAsia"/>
          <w:sz w:val="32"/>
          <w:szCs w:val="32"/>
        </w:rPr>
        <w:t>增长</w:t>
      </w:r>
      <w:r>
        <w:rPr>
          <w:rFonts w:eastAsia="仿宋_GB2312" w:hint="eastAsia"/>
          <w:sz w:val="32"/>
          <w:szCs w:val="32"/>
        </w:rPr>
        <w:t>50%</w:t>
      </w:r>
      <w:r>
        <w:rPr>
          <w:rFonts w:eastAsia="仿宋_GB2312" w:hint="eastAsia"/>
          <w:sz w:val="32"/>
          <w:szCs w:val="32"/>
        </w:rPr>
        <w:t>，占比</w:t>
      </w:r>
      <w:r>
        <w:rPr>
          <w:rFonts w:eastAsia="仿宋_GB2312" w:hint="eastAsia"/>
          <w:sz w:val="32"/>
          <w:szCs w:val="32"/>
        </w:rPr>
        <w:t>5.5%</w:t>
      </w:r>
      <w:r>
        <w:rPr>
          <w:rFonts w:eastAsia="仿宋_GB2312" w:hint="eastAsia"/>
          <w:sz w:val="32"/>
          <w:szCs w:val="32"/>
        </w:rPr>
        <w:t>。在化工行业投诉数量较多的市（州）中，德阳、成都两市投诉占比分别为</w:t>
      </w:r>
      <w:r>
        <w:rPr>
          <w:rFonts w:eastAsia="仿宋_GB2312" w:hint="eastAsia"/>
          <w:sz w:val="32"/>
          <w:szCs w:val="32"/>
        </w:rPr>
        <w:t>29.1%</w:t>
      </w:r>
      <w:r>
        <w:rPr>
          <w:rFonts w:eastAsia="仿宋_GB2312" w:hint="eastAsia"/>
          <w:sz w:val="32"/>
          <w:szCs w:val="32"/>
        </w:rPr>
        <w:t>、</w:t>
      </w:r>
      <w:r>
        <w:rPr>
          <w:rFonts w:eastAsia="仿宋_GB2312"/>
          <w:sz w:val="32"/>
          <w:szCs w:val="32"/>
        </w:rPr>
        <w:t>16.7%</w:t>
      </w:r>
      <w:r>
        <w:rPr>
          <w:rFonts w:eastAsia="仿宋_GB2312" w:hint="eastAsia"/>
          <w:sz w:val="32"/>
          <w:szCs w:val="32"/>
        </w:rPr>
        <w:t>。</w:t>
      </w:r>
    </w:p>
    <w:p w:rsidR="00B739E3" w:rsidRDefault="000903EE">
      <w:pPr>
        <w:overflowPunct w:val="0"/>
        <w:topLinePunct/>
        <w:spacing w:line="600" w:lineRule="exact"/>
        <w:ind w:firstLine="646"/>
        <w:outlineLvl w:val="0"/>
        <w:rPr>
          <w:rFonts w:eastAsia="仿宋_GB2312"/>
          <w:b/>
          <w:bCs/>
          <w:sz w:val="32"/>
          <w:szCs w:val="32"/>
        </w:rPr>
      </w:pPr>
      <w:r>
        <w:rPr>
          <w:rFonts w:eastAsia="仿宋_GB2312" w:hint="eastAsia"/>
          <w:b/>
          <w:bCs/>
          <w:sz w:val="32"/>
          <w:szCs w:val="32"/>
        </w:rPr>
        <w:t>（四）</w:t>
      </w:r>
      <w:proofErr w:type="gramStart"/>
      <w:r w:rsidR="00E53319" w:rsidRPr="000903EE">
        <w:rPr>
          <w:rFonts w:eastAsia="楷体_GB2312" w:cs="楷体_GB2312" w:hint="eastAsia"/>
          <w:b/>
          <w:sz w:val="32"/>
          <w:szCs w:val="32"/>
        </w:rPr>
        <w:t>微信举报</w:t>
      </w:r>
      <w:proofErr w:type="gramEnd"/>
      <w:r w:rsidR="00E53319" w:rsidRPr="000903EE">
        <w:rPr>
          <w:rFonts w:eastAsia="楷体_GB2312" w:cs="楷体_GB2312" w:hint="eastAsia"/>
          <w:b/>
          <w:sz w:val="32"/>
          <w:szCs w:val="32"/>
        </w:rPr>
        <w:t>是资阳、甘孜主要投诉渠道。</w:t>
      </w:r>
    </w:p>
    <w:p w:rsidR="00B739E3" w:rsidRDefault="00E53319" w:rsidP="005A06DF">
      <w:pPr>
        <w:overflowPunct w:val="0"/>
        <w:topLinePunct/>
        <w:spacing w:line="600" w:lineRule="exact"/>
        <w:ind w:firstLineChars="200" w:firstLine="640"/>
        <w:outlineLvl w:val="0"/>
        <w:rPr>
          <w:rFonts w:eastAsia="仿宋_GB2312"/>
          <w:bCs/>
          <w:sz w:val="32"/>
          <w:szCs w:val="32"/>
        </w:rPr>
      </w:pPr>
      <w:r>
        <w:rPr>
          <w:rFonts w:eastAsia="仿宋_GB2312" w:hint="eastAsia"/>
          <w:bCs/>
          <w:sz w:val="32"/>
          <w:szCs w:val="32"/>
        </w:rPr>
        <w:t>从受理数量看，成都市受理</w:t>
      </w:r>
      <w:proofErr w:type="gramStart"/>
      <w:r>
        <w:rPr>
          <w:rFonts w:eastAsia="仿宋_GB2312" w:hint="eastAsia"/>
          <w:bCs/>
          <w:sz w:val="32"/>
          <w:szCs w:val="32"/>
        </w:rPr>
        <w:t>举报共</w:t>
      </w:r>
      <w:proofErr w:type="gramEnd"/>
      <w:r>
        <w:rPr>
          <w:rFonts w:eastAsia="仿宋_GB2312" w:hint="eastAsia"/>
          <w:bCs/>
          <w:sz w:val="32"/>
          <w:szCs w:val="32"/>
        </w:rPr>
        <w:t>219</w:t>
      </w:r>
      <w:r>
        <w:rPr>
          <w:rFonts w:eastAsia="仿宋_GB2312" w:hint="eastAsia"/>
          <w:bCs/>
          <w:sz w:val="32"/>
          <w:szCs w:val="32"/>
        </w:rPr>
        <w:t>件，占全省举报数量的</w:t>
      </w:r>
      <w:r>
        <w:rPr>
          <w:rFonts w:eastAsia="仿宋_GB2312" w:hint="eastAsia"/>
          <w:bCs/>
          <w:sz w:val="32"/>
          <w:szCs w:val="32"/>
        </w:rPr>
        <w:t>33.4</w:t>
      </w:r>
      <w:r>
        <w:rPr>
          <w:rFonts w:eastAsia="仿宋_GB2312"/>
          <w:bCs/>
          <w:sz w:val="32"/>
          <w:szCs w:val="32"/>
        </w:rPr>
        <w:t>%</w:t>
      </w:r>
      <w:r>
        <w:rPr>
          <w:rFonts w:eastAsia="仿宋_GB2312" w:hint="eastAsia"/>
          <w:bCs/>
          <w:sz w:val="32"/>
          <w:szCs w:val="32"/>
        </w:rPr>
        <w:t>。达州、内江、广安三市举报数量相对较多，共</w:t>
      </w:r>
      <w:r>
        <w:rPr>
          <w:rFonts w:eastAsia="仿宋_GB2312"/>
          <w:bCs/>
          <w:sz w:val="32"/>
          <w:szCs w:val="32"/>
        </w:rPr>
        <w:t>142</w:t>
      </w:r>
      <w:r>
        <w:rPr>
          <w:rFonts w:eastAsia="仿宋_GB2312" w:hint="eastAsia"/>
          <w:bCs/>
          <w:sz w:val="32"/>
          <w:szCs w:val="32"/>
        </w:rPr>
        <w:t>件，合计数量占全省举报数量的</w:t>
      </w:r>
      <w:r>
        <w:rPr>
          <w:rFonts w:eastAsia="仿宋_GB2312" w:hint="eastAsia"/>
          <w:bCs/>
          <w:sz w:val="32"/>
          <w:szCs w:val="32"/>
        </w:rPr>
        <w:t>21.7%</w:t>
      </w:r>
      <w:r>
        <w:rPr>
          <w:rFonts w:eastAsia="仿宋_GB2312" w:hint="eastAsia"/>
          <w:bCs/>
          <w:sz w:val="32"/>
          <w:szCs w:val="32"/>
        </w:rPr>
        <w:t>。从举报渠道看，成都市电话、微信、网络渠道举报数量占比均为第一，分别占全省同类型举报数量的</w:t>
      </w:r>
      <w:r>
        <w:rPr>
          <w:rFonts w:eastAsia="仿宋_GB2312" w:hint="eastAsia"/>
          <w:bCs/>
          <w:sz w:val="32"/>
          <w:szCs w:val="32"/>
        </w:rPr>
        <w:t>39.3%</w:t>
      </w:r>
      <w:r>
        <w:rPr>
          <w:rFonts w:eastAsia="仿宋_GB2312" w:hint="eastAsia"/>
          <w:bCs/>
          <w:sz w:val="32"/>
          <w:szCs w:val="32"/>
        </w:rPr>
        <w:t>、</w:t>
      </w:r>
      <w:r>
        <w:rPr>
          <w:rFonts w:eastAsia="仿宋_GB2312" w:hint="eastAsia"/>
          <w:bCs/>
          <w:sz w:val="32"/>
          <w:szCs w:val="32"/>
        </w:rPr>
        <w:t>11.7%</w:t>
      </w:r>
      <w:r>
        <w:rPr>
          <w:rFonts w:eastAsia="仿宋_GB2312" w:hint="eastAsia"/>
          <w:bCs/>
          <w:sz w:val="32"/>
          <w:szCs w:val="32"/>
        </w:rPr>
        <w:t>、</w:t>
      </w:r>
      <w:r>
        <w:rPr>
          <w:rFonts w:eastAsia="仿宋_GB2312"/>
          <w:bCs/>
          <w:sz w:val="32"/>
          <w:szCs w:val="32"/>
        </w:rPr>
        <w:t>16%</w:t>
      </w:r>
      <w:r>
        <w:rPr>
          <w:rFonts w:eastAsia="仿宋_GB2312" w:hint="eastAsia"/>
          <w:bCs/>
          <w:sz w:val="32"/>
          <w:szCs w:val="32"/>
        </w:rPr>
        <w:t>；电话举报方面，内江、达州、遂宁电话举报是主要方式，占比均超过</w:t>
      </w:r>
      <w:r>
        <w:rPr>
          <w:rFonts w:eastAsia="仿宋_GB2312"/>
          <w:bCs/>
          <w:sz w:val="32"/>
          <w:szCs w:val="32"/>
        </w:rPr>
        <w:t>60</w:t>
      </w:r>
      <w:r>
        <w:rPr>
          <w:rFonts w:eastAsia="仿宋_GB2312" w:hint="eastAsia"/>
          <w:bCs/>
          <w:sz w:val="32"/>
          <w:szCs w:val="32"/>
        </w:rPr>
        <w:t>%</w:t>
      </w:r>
      <w:r>
        <w:rPr>
          <w:rFonts w:eastAsia="仿宋_GB2312" w:hint="eastAsia"/>
          <w:bCs/>
          <w:sz w:val="32"/>
          <w:szCs w:val="32"/>
        </w:rPr>
        <w:t>；</w:t>
      </w:r>
      <w:proofErr w:type="gramStart"/>
      <w:r>
        <w:rPr>
          <w:rFonts w:eastAsia="仿宋_GB2312" w:hint="eastAsia"/>
          <w:bCs/>
          <w:sz w:val="32"/>
          <w:szCs w:val="32"/>
        </w:rPr>
        <w:t>微信方面</w:t>
      </w:r>
      <w:proofErr w:type="gramEnd"/>
      <w:r>
        <w:rPr>
          <w:rFonts w:eastAsia="仿宋_GB2312" w:hint="eastAsia"/>
          <w:bCs/>
          <w:sz w:val="32"/>
          <w:szCs w:val="32"/>
        </w:rPr>
        <w:t>，</w:t>
      </w:r>
      <w:r>
        <w:rPr>
          <w:rFonts w:eastAsia="仿宋_GB2312" w:hint="eastAsia"/>
          <w:bCs/>
          <w:sz w:val="32"/>
          <w:szCs w:val="32"/>
        </w:rPr>
        <w:lastRenderedPageBreak/>
        <w:t>资阳、甘孜占比最高，均为</w:t>
      </w:r>
      <w:r>
        <w:rPr>
          <w:rFonts w:eastAsia="仿宋_GB2312" w:hint="eastAsia"/>
          <w:bCs/>
          <w:sz w:val="32"/>
          <w:szCs w:val="32"/>
        </w:rPr>
        <w:t>100%</w:t>
      </w:r>
      <w:r>
        <w:rPr>
          <w:rFonts w:eastAsia="仿宋_GB2312" w:hint="eastAsia"/>
          <w:bCs/>
          <w:sz w:val="32"/>
          <w:szCs w:val="32"/>
        </w:rPr>
        <w:t>，网络举报方面，广元、眉山、阿坝占比超过</w:t>
      </w:r>
      <w:r>
        <w:rPr>
          <w:rFonts w:eastAsia="仿宋_GB2312" w:hint="eastAsia"/>
          <w:bCs/>
          <w:sz w:val="32"/>
          <w:szCs w:val="32"/>
        </w:rPr>
        <w:t>20%</w:t>
      </w:r>
      <w:r>
        <w:rPr>
          <w:rFonts w:eastAsia="仿宋_GB2312" w:hint="eastAsia"/>
          <w:bCs/>
          <w:sz w:val="32"/>
          <w:szCs w:val="32"/>
        </w:rPr>
        <w:t>；</w:t>
      </w:r>
    </w:p>
    <w:p w:rsidR="00B739E3" w:rsidRDefault="00B739E3">
      <w:pPr>
        <w:overflowPunct w:val="0"/>
        <w:topLinePunct/>
        <w:spacing w:line="540" w:lineRule="exact"/>
        <w:outlineLvl w:val="0"/>
        <w:rPr>
          <w:rFonts w:eastAsia="仿宋_GB2312"/>
          <w:color w:val="FF0000"/>
        </w:rPr>
      </w:pPr>
    </w:p>
    <w:p w:rsidR="00B739E3" w:rsidRDefault="00E53319">
      <w:pPr>
        <w:overflowPunct w:val="0"/>
        <w:topLinePunct/>
        <w:spacing w:line="720" w:lineRule="auto"/>
        <w:jc w:val="center"/>
        <w:outlineLvl w:val="0"/>
      </w:pPr>
      <w:r w:rsidRPr="001A50AC">
        <w:rPr>
          <w:noProof/>
        </w:rPr>
        <w:drawing>
          <wp:inline distT="0" distB="0" distL="114300" distR="114300">
            <wp:extent cx="4981575" cy="3362325"/>
            <wp:effectExtent l="0" t="0" r="9525" b="9525"/>
            <wp:docPr id="12" name="图片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B739E3" w:rsidRDefault="00E53319">
      <w:pPr>
        <w:overflowPunct w:val="0"/>
        <w:topLinePunct/>
        <w:spacing w:line="500" w:lineRule="exact"/>
        <w:jc w:val="center"/>
        <w:outlineLvl w:val="0"/>
        <w:rPr>
          <w:rFonts w:eastAsia="黑体"/>
          <w:sz w:val="28"/>
          <w:szCs w:val="32"/>
        </w:rPr>
      </w:pPr>
      <w:r>
        <w:rPr>
          <w:rFonts w:eastAsia="黑体" w:hint="eastAsia"/>
          <w:sz w:val="28"/>
          <w:szCs w:val="32"/>
        </w:rPr>
        <w:t>图</w:t>
      </w:r>
      <w:r w:rsidR="000903EE">
        <w:rPr>
          <w:rFonts w:eastAsia="黑体"/>
          <w:sz w:val="28"/>
          <w:szCs w:val="32"/>
        </w:rPr>
        <w:t xml:space="preserve">3 </w:t>
      </w:r>
      <w:r>
        <w:rPr>
          <w:rFonts w:eastAsia="黑体"/>
          <w:sz w:val="28"/>
          <w:szCs w:val="32"/>
        </w:rPr>
        <w:t xml:space="preserve"> </w:t>
      </w:r>
      <w:r>
        <w:rPr>
          <w:rFonts w:eastAsia="黑体" w:hint="eastAsia"/>
          <w:sz w:val="28"/>
          <w:szCs w:val="32"/>
        </w:rPr>
        <w:t>2019</w:t>
      </w:r>
      <w:r>
        <w:rPr>
          <w:rFonts w:eastAsia="黑体" w:hint="eastAsia"/>
          <w:sz w:val="28"/>
          <w:szCs w:val="32"/>
        </w:rPr>
        <w:t>年</w:t>
      </w:r>
      <w:r>
        <w:rPr>
          <w:rFonts w:eastAsia="黑体" w:hint="eastAsia"/>
          <w:sz w:val="28"/>
          <w:szCs w:val="32"/>
        </w:rPr>
        <w:t>7</w:t>
      </w:r>
      <w:r>
        <w:rPr>
          <w:rFonts w:eastAsia="黑体" w:hint="eastAsia"/>
          <w:sz w:val="28"/>
          <w:szCs w:val="32"/>
        </w:rPr>
        <w:t>月全省各市（州）举报量</w:t>
      </w:r>
    </w:p>
    <w:p w:rsidR="00B739E3" w:rsidRDefault="00B739E3">
      <w:pPr>
        <w:spacing w:line="620" w:lineRule="exact"/>
        <w:ind w:firstLineChars="200" w:firstLine="640"/>
        <w:rPr>
          <w:rFonts w:eastAsia="黑体"/>
          <w:sz w:val="32"/>
          <w:szCs w:val="32"/>
        </w:rPr>
      </w:pPr>
    </w:p>
    <w:p w:rsidR="00B739E3" w:rsidRDefault="00E53319" w:rsidP="005A06DF">
      <w:pPr>
        <w:tabs>
          <w:tab w:val="left" w:pos="2370"/>
        </w:tabs>
        <w:overflowPunct w:val="0"/>
        <w:topLinePunct/>
        <w:spacing w:line="600" w:lineRule="exact"/>
        <w:ind w:leftChars="100" w:left="210" w:rightChars="100" w:right="210"/>
      </w:pPr>
      <w:r>
        <w:t xml:space="preserve"> </w:t>
      </w:r>
    </w:p>
    <w:sectPr w:rsidR="00B739E3">
      <w:footerReference w:type="even" r:id="rId12"/>
      <w:footerReference w:type="default" r:id="rId13"/>
      <w:pgSz w:w="11906" w:h="16838"/>
      <w:pgMar w:top="2098" w:right="1587" w:bottom="124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6E" w:rsidRDefault="004F7C6E">
      <w:r>
        <w:separator/>
      </w:r>
    </w:p>
  </w:endnote>
  <w:endnote w:type="continuationSeparator" w:id="0">
    <w:p w:rsidR="004F7C6E" w:rsidRDefault="004F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E3" w:rsidRPr="005A06DF" w:rsidRDefault="00E53319" w:rsidP="005A06DF">
    <w:pPr>
      <w:pStyle w:val="a4"/>
      <w:ind w:leftChars="100" w:left="210" w:rightChars="100" w:right="21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6B3672" w:rsidRPr="006B3672">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E3" w:rsidRPr="005A06DF" w:rsidRDefault="00E53319" w:rsidP="005A06DF">
    <w:pPr>
      <w:pStyle w:val="a4"/>
      <w:ind w:leftChars="100" w:left="210" w:rightChars="100" w:right="21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6B3672" w:rsidRPr="006B3672">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6E" w:rsidRDefault="004F7C6E">
      <w:r>
        <w:separator/>
      </w:r>
    </w:p>
  </w:footnote>
  <w:footnote w:type="continuationSeparator" w:id="0">
    <w:p w:rsidR="004F7C6E" w:rsidRDefault="004F7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95"/>
    <w:rsid w:val="00023376"/>
    <w:rsid w:val="00032189"/>
    <w:rsid w:val="000505F2"/>
    <w:rsid w:val="000903EE"/>
    <w:rsid w:val="000D77C8"/>
    <w:rsid w:val="001A50AC"/>
    <w:rsid w:val="00286B3E"/>
    <w:rsid w:val="002F6363"/>
    <w:rsid w:val="003022F8"/>
    <w:rsid w:val="00354E6C"/>
    <w:rsid w:val="003A3A95"/>
    <w:rsid w:val="003B268B"/>
    <w:rsid w:val="003D0D06"/>
    <w:rsid w:val="003F2B66"/>
    <w:rsid w:val="004F7C6E"/>
    <w:rsid w:val="00542C1D"/>
    <w:rsid w:val="00574FD5"/>
    <w:rsid w:val="005A06DF"/>
    <w:rsid w:val="00641AC2"/>
    <w:rsid w:val="00643DC9"/>
    <w:rsid w:val="00682753"/>
    <w:rsid w:val="006B3672"/>
    <w:rsid w:val="00717348"/>
    <w:rsid w:val="00861A21"/>
    <w:rsid w:val="00874F26"/>
    <w:rsid w:val="0089510E"/>
    <w:rsid w:val="008E75D1"/>
    <w:rsid w:val="009956A5"/>
    <w:rsid w:val="00A052E6"/>
    <w:rsid w:val="00A90338"/>
    <w:rsid w:val="00B25A5C"/>
    <w:rsid w:val="00B739E3"/>
    <w:rsid w:val="00B8173D"/>
    <w:rsid w:val="00C048D9"/>
    <w:rsid w:val="00D32302"/>
    <w:rsid w:val="00D868CD"/>
    <w:rsid w:val="00E45441"/>
    <w:rsid w:val="00E53319"/>
    <w:rsid w:val="00FA3A33"/>
    <w:rsid w:val="00FE2F4F"/>
    <w:rsid w:val="25D818EF"/>
    <w:rsid w:val="52BF3A06"/>
    <w:rsid w:val="7B9D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83779-F2FD-49C9-8A05-1515D52F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脚 Char"/>
    <w:link w:val="a4"/>
    <w:uiPriority w:val="99"/>
    <w:qFormat/>
    <w:rPr>
      <w:kern w:val="2"/>
      <w:sz w:val="18"/>
      <w:szCs w:val="22"/>
    </w:rPr>
  </w:style>
  <w:style w:type="character" w:customStyle="1" w:styleId="Char">
    <w:name w:val="批注框文本 Char"/>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esktop\12369&#26376;&#25253;\2019&#24180;\7&#26376;&#26376;&#25253;\2019&#24180;7&#26376;&#22522;&#30784;&#25968;&#25454;.xls" TargetMode="External"/><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enovo\Desktop\12369&#26376;&#25253;\2019&#24180;\7&#26376;&#26376;&#25253;\2019&#24180;7&#26376;&#22522;&#30784;&#25968;&#25454;.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enovo\Desktop\12369&#26376;&#25253;\2019&#24180;\7&#26376;&#26376;&#25253;\2019&#24180;7&#26376;&#22522;&#30784;&#25968;&#25454;.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enovo\Desktop\12369&#26376;&#25253;\2019&#24180;\7&#26376;&#26376;&#25253;\2019&#24180;7&#26376;&#22522;&#30784;&#25968;&#25454;.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lenovo\Desktop\12369&#26376;&#25253;\2019&#24180;\7&#26376;&#26376;&#25253;\2019&#24180;7&#26376;&#22522;&#30784;&#25968;&#25454;.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4885325963781001E-4"/>
          <c:y val="0"/>
          <c:w val="0.999851199702399"/>
          <c:h val="1"/>
        </c:manualLayout>
      </c:layout>
      <c:pieChart>
        <c:varyColors val="1"/>
        <c:ser>
          <c:idx val="0"/>
          <c:order val="0"/>
          <c:tx>
            <c:strRef>
              <c:f>'6月综合计算'!$B$87</c:f>
              <c:strCache>
                <c:ptCount val="1"/>
                <c:pt idx="0">
                  <c:v>7月</c:v>
                </c:pt>
              </c:strCache>
            </c:strRef>
          </c:tx>
          <c:spPr>
            <a:blipFill>
              <a:blip xmlns:r="http://schemas.openxmlformats.org/officeDocument/2006/relationships" r:embed="rId2"/>
              <a:tile tx="0" ty="0" sx="100000" sy="100000" flip="none" algn="tl"/>
            </a:blipFill>
          </c:spPr>
          <c:dPt>
            <c:idx val="0"/>
            <c:bubble3D val="0"/>
            <c:explosion val="4"/>
            <c:spPr>
              <a:pattFill prst="dkHorz">
                <a:fgClr>
                  <a:srgbClr val="0070C0"/>
                </a:fgClr>
                <a:bgClr>
                  <a:schemeClr val="bg1"/>
                </a:bgClr>
              </a:pattFill>
            </c:spPr>
          </c:dPt>
          <c:dPt>
            <c:idx val="1"/>
            <c:bubble3D val="0"/>
            <c:explosion val="5"/>
            <c:spPr>
              <a:pattFill prst="wdDnDiag">
                <a:fgClr>
                  <a:srgbClr val="0070C0"/>
                </a:fgClr>
                <a:bgClr>
                  <a:schemeClr val="bg1"/>
                </a:bgClr>
              </a:pattFill>
            </c:spPr>
          </c:dPt>
          <c:dPt>
            <c:idx val="2"/>
            <c:bubble3D val="0"/>
            <c:explosion val="1"/>
            <c:spPr>
              <a:pattFill prst="dotDmnd">
                <a:fgClr>
                  <a:srgbClr val="0070C0"/>
                </a:fgClr>
                <a:bgClr>
                  <a:schemeClr val="bg1"/>
                </a:bgClr>
              </a:pattFill>
              <a:scene3d>
                <a:camera prst="orthographicFront"/>
                <a:lightRig rig="threePt" dir="t"/>
              </a:scene3d>
              <a:sp3d prstMaterial="matte">
                <a:bevelT w="63500"/>
                <a:bevelB w="57150" h="133350"/>
              </a:sp3d>
            </c:spPr>
          </c:dPt>
          <c:dLbls>
            <c:dLbl>
              <c:idx val="0"/>
              <c:layout>
                <c:manualLayout>
                  <c:x val="-2.8899598757051899E-2"/>
                  <c:y val="-0.239203510413911"/>
                </c:manualLayout>
              </c:layout>
              <c:spPr>
                <a:noFill/>
                <a:ln w="25400">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2.2988505747126398E-2"/>
                  <c:y val="7.2867403202506703E-2"/>
                </c:manualLayout>
              </c:layout>
              <c:spPr>
                <a:noFill/>
                <a:ln w="25400">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6.0592106837709103E-2"/>
                  <c:y val="1.9770404098848698E-2"/>
                </c:manualLayout>
              </c:layout>
              <c:spPr>
                <a:noFill/>
                <a:ln w="25400">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1"/>
              <c:showVal val="1"/>
              <c:showCatName val="1"/>
              <c:showSerName val="0"/>
              <c:showPercent val="1"/>
              <c:showBubbleSize val="0"/>
              <c:separator>
</c:separator>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1">
                <a:spAutoFit/>
              </a:bodyPr>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1"/>
            <c:showVal val="1"/>
            <c:showCatName val="1"/>
            <c:showSerName val="0"/>
            <c:showPercent val="1"/>
            <c:showBubbleSize val="0"/>
            <c:separator>
</c:separator>
            <c:showLeaderLines val="1"/>
            <c:leaderLines>
              <c:spPr>
                <a:ln w="3175" cap="flat" cmpd="sng" algn="ctr">
                  <a:solidFill>
                    <a:srgbClr val="000000"/>
                  </a:solidFill>
                  <a:prstDash val="solid"/>
                  <a:round/>
                </a:ln>
              </c:spPr>
            </c:leaderLines>
            <c:extLst>
              <c:ext xmlns:c15="http://schemas.microsoft.com/office/drawing/2012/chart" uri="{CE6537A1-D6FC-4f65-9D91-7224C49458BB}"/>
            </c:extLst>
          </c:dLbls>
          <c:cat>
            <c:strRef>
              <c:f>'6月综合计算'!$D$56:$F$56</c:f>
              <c:strCache>
                <c:ptCount val="3"/>
                <c:pt idx="0">
                  <c:v>电话举报</c:v>
                </c:pt>
                <c:pt idx="1">
                  <c:v>微信举报</c:v>
                </c:pt>
                <c:pt idx="2">
                  <c:v>网络举报</c:v>
                </c:pt>
              </c:strCache>
            </c:strRef>
          </c:cat>
          <c:val>
            <c:numRef>
              <c:f>'6月综合计算'!$D$87:$F$87</c:f>
              <c:numCache>
                <c:formatCode>General</c:formatCode>
                <c:ptCount val="3"/>
                <c:pt idx="0">
                  <c:v>284</c:v>
                </c:pt>
                <c:pt idx="1">
                  <c:v>297</c:v>
                </c:pt>
                <c:pt idx="2">
                  <c:v>87</c:v>
                </c:pt>
              </c:numCache>
            </c:numRef>
          </c:val>
        </c:ser>
        <c:ser>
          <c:idx val="1"/>
          <c:order val="1"/>
          <c:tx>
            <c:strRef>
              <c:f>'6月综合计算'!$E$56</c:f>
              <c:strCache>
                <c:ptCount val="1"/>
                <c:pt idx="0">
                  <c:v>微信举报</c:v>
                </c:pt>
              </c:strCache>
            </c:strRef>
          </c:tx>
          <c:cat>
            <c:strRef>
              <c:f>'6月综合计算'!$B$62</c:f>
              <c:strCache>
                <c:ptCount val="3"/>
                <c:pt idx="0">
                  <c:v>电话举报</c:v>
                </c:pt>
                <c:pt idx="1">
                  <c:v>微信举报</c:v>
                </c:pt>
                <c:pt idx="2">
                  <c:v>网络举报</c:v>
                </c:pt>
              </c:strCache>
            </c:strRef>
          </c:cat>
          <c:val>
            <c:numRef>
              <c:f>'6月综合计算'!$E$62</c:f>
            </c:numRef>
          </c:val>
        </c:ser>
        <c:ser>
          <c:idx val="2"/>
          <c:order val="2"/>
          <c:tx>
            <c:strRef>
              <c:f>'6月综合计算'!$F$56</c:f>
              <c:strCache>
                <c:ptCount val="1"/>
                <c:pt idx="0">
                  <c:v>网络举报</c:v>
                </c:pt>
              </c:strCache>
            </c:strRef>
          </c:tx>
          <c:cat>
            <c:strRef>
              <c:f>'6月综合计算'!$B$62</c:f>
              <c:strCache>
                <c:ptCount val="3"/>
                <c:pt idx="0">
                  <c:v>电话举报</c:v>
                </c:pt>
                <c:pt idx="1">
                  <c:v>微信举报</c:v>
                </c:pt>
                <c:pt idx="2">
                  <c:v>网络举报</c:v>
                </c:pt>
              </c:strCache>
            </c:strRef>
          </c:cat>
          <c:val>
            <c:numRef>
              <c:f>'6月综合计算'!$F$62</c:f>
            </c:numRef>
          </c:val>
        </c:ser>
        <c:dLbls>
          <c:showLegendKey val="0"/>
          <c:showVal val="0"/>
          <c:showCatName val="0"/>
          <c:showSerName val="0"/>
          <c:showPercent val="0"/>
          <c:showBubbleSize val="0"/>
          <c:showLeaderLines val="1"/>
        </c:dLbls>
        <c:firstSliceAng val="10"/>
      </c:pieChart>
      <c:spPr>
        <a:noFill/>
        <a:ln>
          <a:noFill/>
        </a:ln>
        <a:effectLst/>
      </c:spPr>
    </c:plotArea>
    <c:plotVisOnly val="1"/>
    <c:dispBlanksAs val="zero"/>
    <c:showDLblsOverMax val="0"/>
  </c:chart>
  <c:spPr>
    <a:solidFill>
      <a:schemeClr val="bg1"/>
    </a:solidFill>
    <a:ln w="6350" cap="flat" cmpd="sng" algn="ctr">
      <a:no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936286590130395E-2"/>
          <c:y val="9.9301433474661804E-2"/>
          <c:w val="0.87705164704574801"/>
          <c:h val="0.82374736314459396"/>
        </c:manualLayout>
      </c:layout>
      <c:lineChart>
        <c:grouping val="standard"/>
        <c:varyColors val="0"/>
        <c:ser>
          <c:idx val="0"/>
          <c:order val="0"/>
          <c:tx>
            <c:strRef>
              <c:f>'6月综合计算'!$C$56</c:f>
              <c:strCache>
                <c:ptCount val="1"/>
                <c:pt idx="0">
                  <c:v>受理件总量</c:v>
                </c:pt>
              </c:strCache>
            </c:strRef>
          </c:tx>
          <c:spPr>
            <a:ln w="28575" cap="rnd" cmpd="sng" algn="ctr">
              <a:solidFill>
                <a:schemeClr val="accent1"/>
              </a:solidFill>
              <a:prstDash val="solid"/>
              <a:round/>
            </a:ln>
            <a:effectLst/>
          </c:spPr>
          <c:marker>
            <c:symbol val="square"/>
            <c:size val="5"/>
            <c:spPr>
              <a:solidFill>
                <a:schemeClr val="accent1"/>
              </a:solidFill>
              <a:ln w="9525" cap="flat" cmpd="sng" algn="ctr">
                <a:solidFill>
                  <a:schemeClr val="accent1"/>
                </a:solidFill>
                <a:prstDash val="solid"/>
                <a:round/>
              </a:ln>
              <a:effectLst/>
            </c:spPr>
          </c:marker>
          <c:dLbls>
            <c:spPr>
              <a:noFill/>
              <a:ln w="25400">
                <a:noFill/>
              </a:ln>
              <a:effectLst/>
            </c:spPr>
            <c:txPr>
              <a:bodyPr rot="0" spcFirstLastPara="0" vertOverflow="ellipsis" vert="horz" wrap="square" lIns="38100" tIns="19050" rIns="38100" bIns="19050" anchor="ctr" anchorCtr="1">
                <a:spAutoFit/>
              </a:bodyPr>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'6月综合计算'!$B$81:$B$87</c:f>
              <c:strCache>
                <c:ptCount val="7"/>
                <c:pt idx="0">
                  <c:v>1月</c:v>
                </c:pt>
                <c:pt idx="1">
                  <c:v>2月</c:v>
                </c:pt>
                <c:pt idx="2">
                  <c:v>3月</c:v>
                </c:pt>
                <c:pt idx="3">
                  <c:v>4月</c:v>
                </c:pt>
                <c:pt idx="4">
                  <c:v>5月</c:v>
                </c:pt>
                <c:pt idx="5">
                  <c:v>6月</c:v>
                </c:pt>
                <c:pt idx="6">
                  <c:v>7月</c:v>
                </c:pt>
              </c:strCache>
            </c:strRef>
          </c:cat>
          <c:val>
            <c:numRef>
              <c:f>'6月综合计算'!$C$81:$C$87</c:f>
              <c:numCache>
                <c:formatCode>General</c:formatCode>
                <c:ptCount val="7"/>
                <c:pt idx="0">
                  <c:v>586</c:v>
                </c:pt>
                <c:pt idx="1">
                  <c:v>412</c:v>
                </c:pt>
                <c:pt idx="2">
                  <c:v>738</c:v>
                </c:pt>
                <c:pt idx="3">
                  <c:v>757</c:v>
                </c:pt>
                <c:pt idx="4">
                  <c:v>622</c:v>
                </c:pt>
                <c:pt idx="5">
                  <c:v>897</c:v>
                </c:pt>
                <c:pt idx="6">
                  <c:v>668</c:v>
                </c:pt>
              </c:numCache>
            </c:numRef>
          </c:val>
          <c:smooth val="0"/>
        </c:ser>
        <c:ser>
          <c:idx val="1"/>
          <c:order val="1"/>
          <c:tx>
            <c:strRef>
              <c:f>'6月综合计算'!$D$56</c:f>
              <c:strCache>
                <c:ptCount val="1"/>
                <c:pt idx="0">
                  <c:v>电话举报</c:v>
                </c:pt>
              </c:strCache>
            </c:strRef>
          </c:tx>
          <c:spPr>
            <a:ln w="28575" cap="rnd" cmpd="sng" algn="ctr">
              <a:solidFill>
                <a:schemeClr val="accent2"/>
              </a:solidFill>
              <a:prstDash val="solid"/>
              <a:round/>
            </a:ln>
            <a:effectLst/>
          </c:spPr>
          <c:marker>
            <c:symbol val="diamond"/>
            <c:size val="7"/>
            <c:spPr>
              <a:solidFill>
                <a:schemeClr val="accent2"/>
              </a:solidFill>
              <a:ln w="9525" cap="flat" cmpd="sng" algn="ctr">
                <a:solidFill>
                  <a:schemeClr val="accent2"/>
                </a:solidFill>
                <a:prstDash val="solid"/>
                <a:round/>
              </a:ln>
              <a:effectLst/>
            </c:spPr>
          </c:marker>
          <c:cat>
            <c:strRef>
              <c:f>'6月综合计算'!$B$81:$B$87</c:f>
              <c:strCache>
                <c:ptCount val="7"/>
                <c:pt idx="0">
                  <c:v>1月</c:v>
                </c:pt>
                <c:pt idx="1">
                  <c:v>2月</c:v>
                </c:pt>
                <c:pt idx="2">
                  <c:v>3月</c:v>
                </c:pt>
                <c:pt idx="3">
                  <c:v>4月</c:v>
                </c:pt>
                <c:pt idx="4">
                  <c:v>5月</c:v>
                </c:pt>
                <c:pt idx="5">
                  <c:v>6月</c:v>
                </c:pt>
                <c:pt idx="6">
                  <c:v>7月</c:v>
                </c:pt>
              </c:strCache>
            </c:strRef>
          </c:cat>
          <c:val>
            <c:numRef>
              <c:f>'6月综合计算'!$D$81:$D$87</c:f>
              <c:numCache>
                <c:formatCode>General</c:formatCode>
                <c:ptCount val="7"/>
                <c:pt idx="0">
                  <c:v>266</c:v>
                </c:pt>
                <c:pt idx="1">
                  <c:v>163</c:v>
                </c:pt>
                <c:pt idx="2">
                  <c:v>262</c:v>
                </c:pt>
                <c:pt idx="3">
                  <c:v>304</c:v>
                </c:pt>
                <c:pt idx="4">
                  <c:v>288</c:v>
                </c:pt>
                <c:pt idx="5">
                  <c:v>237</c:v>
                </c:pt>
                <c:pt idx="6">
                  <c:v>284</c:v>
                </c:pt>
              </c:numCache>
            </c:numRef>
          </c:val>
          <c:smooth val="0"/>
        </c:ser>
        <c:ser>
          <c:idx val="2"/>
          <c:order val="2"/>
          <c:tx>
            <c:strRef>
              <c:f>'6月综合计算'!$E$56</c:f>
              <c:strCache>
                <c:ptCount val="1"/>
                <c:pt idx="0">
                  <c:v>微信举报</c:v>
                </c:pt>
              </c:strCache>
            </c:strRef>
          </c:tx>
          <c:spPr>
            <a:ln w="28575" cap="rnd" cmpd="sng" algn="ctr">
              <a:solidFill>
                <a:schemeClr val="accent6"/>
              </a:solidFill>
              <a:prstDash val="solid"/>
              <a:round/>
            </a:ln>
            <a:effectLst/>
          </c:spPr>
          <c:marker>
            <c:symbol val="triangle"/>
            <c:size val="5"/>
            <c:spPr>
              <a:solidFill>
                <a:srgbClr val="339966"/>
              </a:solidFill>
              <a:ln w="6350" cap="flat" cmpd="sng" algn="ctr">
                <a:noFill/>
                <a:prstDash val="solid"/>
                <a:round/>
              </a:ln>
            </c:spPr>
          </c:marker>
          <c:cat>
            <c:strRef>
              <c:f>'6月综合计算'!$B$81:$B$87</c:f>
              <c:strCache>
                <c:ptCount val="7"/>
                <c:pt idx="0">
                  <c:v>1月</c:v>
                </c:pt>
                <c:pt idx="1">
                  <c:v>2月</c:v>
                </c:pt>
                <c:pt idx="2">
                  <c:v>3月</c:v>
                </c:pt>
                <c:pt idx="3">
                  <c:v>4月</c:v>
                </c:pt>
                <c:pt idx="4">
                  <c:v>5月</c:v>
                </c:pt>
                <c:pt idx="5">
                  <c:v>6月</c:v>
                </c:pt>
                <c:pt idx="6">
                  <c:v>7月</c:v>
                </c:pt>
              </c:strCache>
            </c:strRef>
          </c:cat>
          <c:val>
            <c:numRef>
              <c:f>'6月综合计算'!$E$81:$E$87</c:f>
              <c:numCache>
                <c:formatCode>General</c:formatCode>
                <c:ptCount val="7"/>
                <c:pt idx="0">
                  <c:v>81</c:v>
                </c:pt>
                <c:pt idx="1">
                  <c:v>200</c:v>
                </c:pt>
                <c:pt idx="2">
                  <c:v>323</c:v>
                </c:pt>
                <c:pt idx="3">
                  <c:v>329</c:v>
                </c:pt>
                <c:pt idx="4">
                  <c:v>224</c:v>
                </c:pt>
                <c:pt idx="5">
                  <c:v>526</c:v>
                </c:pt>
                <c:pt idx="6">
                  <c:v>297</c:v>
                </c:pt>
              </c:numCache>
            </c:numRef>
          </c:val>
          <c:smooth val="0"/>
        </c:ser>
        <c:ser>
          <c:idx val="3"/>
          <c:order val="3"/>
          <c:tx>
            <c:strRef>
              <c:f>'6月综合计算'!$F$56</c:f>
              <c:strCache>
                <c:ptCount val="1"/>
                <c:pt idx="0">
                  <c:v>网络举报</c:v>
                </c:pt>
              </c:strCache>
            </c:strRef>
          </c:tx>
          <c:cat>
            <c:strRef>
              <c:f>'6月综合计算'!$B$81:$B$87</c:f>
              <c:strCache>
                <c:ptCount val="7"/>
                <c:pt idx="0">
                  <c:v>1月</c:v>
                </c:pt>
                <c:pt idx="1">
                  <c:v>2月</c:v>
                </c:pt>
                <c:pt idx="2">
                  <c:v>3月</c:v>
                </c:pt>
                <c:pt idx="3">
                  <c:v>4月</c:v>
                </c:pt>
                <c:pt idx="4">
                  <c:v>5月</c:v>
                </c:pt>
                <c:pt idx="5">
                  <c:v>6月</c:v>
                </c:pt>
                <c:pt idx="6">
                  <c:v>7月</c:v>
                </c:pt>
              </c:strCache>
            </c:strRef>
          </c:cat>
          <c:val>
            <c:numRef>
              <c:f>'6月综合计算'!$F$81:$F$87</c:f>
              <c:numCache>
                <c:formatCode>General</c:formatCode>
                <c:ptCount val="7"/>
                <c:pt idx="0">
                  <c:v>239</c:v>
                </c:pt>
                <c:pt idx="1">
                  <c:v>49</c:v>
                </c:pt>
                <c:pt idx="2">
                  <c:v>153</c:v>
                </c:pt>
                <c:pt idx="3">
                  <c:v>124</c:v>
                </c:pt>
                <c:pt idx="4">
                  <c:v>110</c:v>
                </c:pt>
                <c:pt idx="5">
                  <c:v>134</c:v>
                </c:pt>
                <c:pt idx="6">
                  <c:v>87</c:v>
                </c:pt>
              </c:numCache>
            </c:numRef>
          </c:val>
          <c:smooth val="0"/>
        </c:ser>
        <c:dLbls>
          <c:showLegendKey val="0"/>
          <c:showVal val="0"/>
          <c:showCatName val="0"/>
          <c:showSerName val="0"/>
          <c:showPercent val="0"/>
          <c:showBubbleSize val="0"/>
        </c:dLbls>
        <c:marker val="1"/>
        <c:smooth val="0"/>
        <c:axId val="945497512"/>
        <c:axId val="945497904"/>
      </c:lineChart>
      <c:catAx>
        <c:axId val="9454975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700" b="1"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crossAx val="945497904"/>
        <c:crosses val="autoZero"/>
        <c:auto val="1"/>
        <c:lblAlgn val="ctr"/>
        <c:lblOffset val="100"/>
        <c:noMultiLvlLbl val="0"/>
      </c:catAx>
      <c:valAx>
        <c:axId val="945497904"/>
        <c:scaling>
          <c:orientation val="minMax"/>
        </c:scaling>
        <c:delete val="0"/>
        <c:axPos val="l"/>
        <c:numFmt formatCode="General" sourceLinked="1"/>
        <c:majorTickMark val="none"/>
        <c:minorTickMark val="none"/>
        <c:tickLblPos val="nextTo"/>
        <c:spPr>
          <a:ln w="6350" cap="flat" cmpd="sng" algn="ctr">
            <a:noFill/>
            <a:prstDash val="solid"/>
            <a:round/>
          </a:ln>
        </c:spPr>
        <c:txPr>
          <a:bodyPr rot="0" spcFirstLastPara="0" vertOverflow="ellipsis" vert="horz" wrap="square" anchor="ctr" anchorCtr="1"/>
          <a:lstStyle/>
          <a:p>
            <a:pPr>
              <a:defRPr lang="zh-CN" sz="900" b="1"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crossAx val="945497512"/>
        <c:crosses val="autoZero"/>
        <c:crossBetween val="midCat"/>
      </c:valAx>
      <c:spPr>
        <a:noFill/>
        <a:ln w="25400">
          <a:noFill/>
        </a:ln>
      </c:spPr>
    </c:plotArea>
    <c:legend>
      <c:legendPos val="r"/>
      <c:legendEntry>
        <c:idx val="0"/>
        <c:txPr>
          <a:bodyPr rot="0" spcFirstLastPara="0" vertOverflow="ellipsis" vert="horz" wrap="square" anchor="ctr" anchorCtr="1"/>
          <a:lstStyle/>
          <a:p>
            <a:pPr>
              <a:defRPr lang="zh-CN" sz="845"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Entry>
      <c:legendEntry>
        <c:idx val="1"/>
        <c:txPr>
          <a:bodyPr rot="0" spcFirstLastPara="0" vertOverflow="ellipsis" vert="horz" wrap="square" anchor="ctr" anchorCtr="1"/>
          <a:lstStyle/>
          <a:p>
            <a:pPr>
              <a:defRPr lang="zh-CN" sz="845"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Entry>
      <c:legendEntry>
        <c:idx val="2"/>
        <c:txPr>
          <a:bodyPr rot="0" spcFirstLastPara="0" vertOverflow="ellipsis" vert="horz" wrap="square" anchor="ctr" anchorCtr="1"/>
          <a:lstStyle/>
          <a:p>
            <a:pPr>
              <a:defRPr lang="zh-CN" sz="845"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8.1626783622731194E-2"/>
          <c:y val="2.2695823499516099E-2"/>
          <c:w val="0.76870758419041296"/>
          <c:h val="0.104255588741063"/>
        </c:manualLayout>
      </c:layout>
      <c:overlay val="0"/>
      <c:spPr>
        <a:noFill/>
        <a:ln w="3175">
          <a:noFill/>
        </a:ln>
      </c:spPr>
      <c:txPr>
        <a:bodyPr rot="0" spcFirstLastPara="0" vertOverflow="ellipsis" vert="horz" wrap="square" anchor="ctr" anchorCtr="1"/>
        <a:lstStyle/>
        <a:p>
          <a:pPr>
            <a:defRPr lang="zh-CN" sz="845" b="1"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rgbClr val="FFFFFF"/>
    </a:solidFill>
    <a:ln w="6350" cap="flat" cmpd="sng" algn="ctr">
      <a:no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952262873218201E-2"/>
          <c:y val="0"/>
          <c:w val="0.98729448398108599"/>
          <c:h val="1"/>
        </c:manualLayout>
      </c:layout>
      <c:pieChart>
        <c:varyColors val="1"/>
        <c:ser>
          <c:idx val="0"/>
          <c:order val="0"/>
          <c:tx>
            <c:strRef>
              <c:f>'6月综合计算'!$B$87</c:f>
              <c:strCache>
                <c:ptCount val="1"/>
                <c:pt idx="0">
                  <c:v>7月</c:v>
                </c:pt>
              </c:strCache>
            </c:strRef>
          </c:tx>
          <c:dPt>
            <c:idx val="0"/>
            <c:bubble3D val="0"/>
            <c:explosion val="6"/>
            <c:spPr>
              <a:pattFill prst="wdDnDiag">
                <a:fgClr>
                  <a:srgbClr val="00B0F0"/>
                </a:fgClr>
                <a:bgClr>
                  <a:schemeClr val="bg1"/>
                </a:bgClr>
              </a:pattFill>
            </c:spPr>
          </c:dPt>
          <c:dPt>
            <c:idx val="1"/>
            <c:bubble3D val="0"/>
            <c:explosion val="6"/>
            <c:spPr>
              <a:pattFill prst="pct20">
                <a:fgClr>
                  <a:srgbClr val="00B0F0"/>
                </a:fgClr>
                <a:bgClr>
                  <a:schemeClr val="bg1"/>
                </a:bgClr>
              </a:pattFill>
            </c:spPr>
          </c:dPt>
          <c:dPt>
            <c:idx val="2"/>
            <c:bubble3D val="0"/>
            <c:explosion val="7"/>
            <c:spPr>
              <a:pattFill prst="smGrid">
                <a:fgClr>
                  <a:srgbClr val="00B0F0"/>
                </a:fgClr>
                <a:bgClr>
                  <a:schemeClr val="bg1"/>
                </a:bgClr>
              </a:pattFill>
            </c:spPr>
          </c:dPt>
          <c:dPt>
            <c:idx val="3"/>
            <c:bubble3D val="0"/>
            <c:explosion val="9"/>
          </c:dPt>
          <c:dPt>
            <c:idx val="4"/>
            <c:bubble3D val="0"/>
            <c:explosion val="8"/>
            <c:spPr>
              <a:pattFill prst="lgConfetti">
                <a:fgClr>
                  <a:srgbClr val="00B0F0"/>
                </a:fgClr>
                <a:bgClr>
                  <a:schemeClr val="bg1"/>
                </a:bgClr>
              </a:pattFill>
            </c:spPr>
          </c:dPt>
          <c:dLbls>
            <c:dLbl>
              <c:idx val="0"/>
              <c:layout>
                <c:manualLayout>
                  <c:x val="-2.8304697206966802E-2"/>
                  <c:y val="-4.9101327122842098E-2"/>
                </c:manualLayout>
              </c:layout>
              <c:spPr>
                <a:noFill/>
                <a:ln w="25400">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1531279178338"/>
                  <c:y val="0"/>
                </c:manualLayout>
              </c:layout>
              <c:spPr>
                <a:noFill/>
                <a:ln w="25400">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
                  <c:y val="2.9629619754324099E-2"/>
                </c:manualLayout>
              </c:layout>
              <c:spPr>
                <a:noFill/>
                <a:ln w="25400">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
                  <c:y val="-2.69786699197812E-3"/>
                </c:manualLayout>
              </c:layout>
              <c:spPr>
                <a:noFill/>
                <a:ln w="25400">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1"/>
              <c:showVal val="1"/>
              <c:showCatName val="1"/>
              <c:showSerName val="0"/>
              <c:showPercent val="1"/>
              <c:showBubbleSize val="0"/>
              <c:separator>
</c:separator>
              <c:extLst>
                <c:ext xmlns:c15="http://schemas.microsoft.com/office/drawing/2012/chart" uri="{CE6537A1-D6FC-4f65-9D91-7224C49458BB}"/>
              </c:extLst>
            </c:dLbl>
            <c:dLbl>
              <c:idx val="4"/>
              <c:layout>
                <c:manualLayout>
                  <c:x val="0.114896459585838"/>
                  <c:y val="2.9197080291970798E-2"/>
                </c:manualLayout>
              </c:layout>
              <c:spPr>
                <a:noFill/>
                <a:ln w="25400">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LegendKey val="1"/>
              <c:showVal val="1"/>
              <c:showCatName val="1"/>
              <c:showSerName val="0"/>
              <c:showPercent val="1"/>
              <c:showBubbleSize val="0"/>
              <c:separator>
</c:separator>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1">
                <a:spAutoFit/>
              </a:bodyPr>
              <a:lstStyle/>
              <a:p>
                <a:pPr>
                  <a:defRPr lang="zh-CN" sz="1000" b="1"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1"/>
            <c:showVal val="1"/>
            <c:showCatName val="1"/>
            <c:showSerName val="0"/>
            <c:showPercent val="1"/>
            <c:showBubbleSize val="0"/>
            <c:separator>
</c:separator>
            <c:showLeaderLines val="1"/>
            <c:leaderLines>
              <c:spPr>
                <a:ln w="3175" cap="flat" cmpd="sng" algn="ctr">
                  <a:solidFill>
                    <a:srgbClr val="000000"/>
                  </a:solidFill>
                  <a:prstDash val="solid"/>
                  <a:round/>
                </a:ln>
              </c:spPr>
            </c:leaderLines>
            <c:extLst>
              <c:ext xmlns:c15="http://schemas.microsoft.com/office/drawing/2012/chart" uri="{CE6537A1-D6FC-4f65-9D91-7224C49458BB}"/>
            </c:extLst>
          </c:dLbls>
          <c:cat>
            <c:strRef>
              <c:f>'6月综合计算'!$G$56:$K$56</c:f>
              <c:strCache>
                <c:ptCount val="5"/>
                <c:pt idx="0">
                  <c:v>大气污染</c:v>
                </c:pt>
                <c:pt idx="1">
                  <c:v>噪声污染</c:v>
                </c:pt>
                <c:pt idx="2">
                  <c:v>水污染</c:v>
                </c:pt>
                <c:pt idx="3">
                  <c:v>固废污染</c:v>
                </c:pt>
                <c:pt idx="4">
                  <c:v>辐射及其他污染</c:v>
                </c:pt>
              </c:strCache>
            </c:strRef>
          </c:cat>
          <c:val>
            <c:numRef>
              <c:f>'6月综合计算'!$G$87:$K$87</c:f>
              <c:numCache>
                <c:formatCode>General</c:formatCode>
                <c:ptCount val="5"/>
                <c:pt idx="0">
                  <c:v>437</c:v>
                </c:pt>
                <c:pt idx="1">
                  <c:v>381</c:v>
                </c:pt>
                <c:pt idx="2">
                  <c:v>229</c:v>
                </c:pt>
                <c:pt idx="3">
                  <c:v>69</c:v>
                </c:pt>
                <c:pt idx="4">
                  <c:v>108</c:v>
                </c:pt>
              </c:numCache>
            </c:numRef>
          </c:val>
        </c:ser>
        <c:dLbls>
          <c:showLegendKey val="0"/>
          <c:showVal val="0"/>
          <c:showCatName val="0"/>
          <c:showSerName val="0"/>
          <c:showPercent val="0"/>
          <c:showBubbleSize val="0"/>
          <c:showLeaderLines val="1"/>
        </c:dLbls>
        <c:firstSliceAng val="10"/>
      </c:pieChart>
      <c:spPr>
        <a:noFill/>
        <a:ln>
          <a:noFill/>
        </a:ln>
        <a:effectLst/>
      </c:spPr>
    </c:plotArea>
    <c:plotVisOnly val="1"/>
    <c:dispBlanksAs val="zero"/>
    <c:showDLblsOverMax val="0"/>
  </c:chart>
  <c:spPr>
    <a:solidFill>
      <a:srgbClr val="F4FAF5"/>
    </a:solidFill>
    <a:ln w="6350" cap="flat" cmpd="sng" algn="ctr">
      <a:no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3178135341778E-2"/>
          <c:y val="2.94521983035382E-2"/>
          <c:w val="0.93220981672635395"/>
          <c:h val="0.86671776202337603"/>
        </c:manualLayout>
      </c:layout>
      <c:lineChart>
        <c:grouping val="standard"/>
        <c:varyColors val="0"/>
        <c:ser>
          <c:idx val="0"/>
          <c:order val="0"/>
          <c:tx>
            <c:strRef>
              <c:f>'6月综合计算'!$G$56</c:f>
              <c:strCache>
                <c:ptCount val="1"/>
                <c:pt idx="0">
                  <c:v>大气污染</c:v>
                </c:pt>
              </c:strCache>
            </c:strRef>
          </c:tx>
          <c:spPr>
            <a:ln w="28575" cap="rnd" cmpd="sng" algn="ctr">
              <a:solidFill>
                <a:schemeClr val="accent1"/>
              </a:solidFill>
              <a:prstDash val="solid"/>
              <a:round/>
            </a:ln>
            <a:effectLst/>
          </c:spPr>
          <c:marker>
            <c:symbol val="square"/>
            <c:size val="5"/>
            <c:spPr>
              <a:solidFill>
                <a:schemeClr val="accent1"/>
              </a:solidFill>
              <a:ln w="9525" cap="flat" cmpd="sng" algn="ctr">
                <a:solidFill>
                  <a:schemeClr val="accent1"/>
                </a:solidFill>
                <a:prstDash val="solid"/>
                <a:round/>
              </a:ln>
              <a:effectLst/>
            </c:spPr>
          </c:marker>
          <c:cat>
            <c:strRef>
              <c:f>'6月综合计算'!$B$81:$B$87</c:f>
              <c:strCache>
                <c:ptCount val="7"/>
                <c:pt idx="0">
                  <c:v>1月</c:v>
                </c:pt>
                <c:pt idx="1">
                  <c:v>2月</c:v>
                </c:pt>
                <c:pt idx="2">
                  <c:v>3月</c:v>
                </c:pt>
                <c:pt idx="3">
                  <c:v>4月</c:v>
                </c:pt>
                <c:pt idx="4">
                  <c:v>5月</c:v>
                </c:pt>
                <c:pt idx="5">
                  <c:v>6月</c:v>
                </c:pt>
                <c:pt idx="6">
                  <c:v>7月</c:v>
                </c:pt>
              </c:strCache>
            </c:strRef>
          </c:cat>
          <c:val>
            <c:numRef>
              <c:f>'6月综合计算'!$G$81:$G$87</c:f>
              <c:numCache>
                <c:formatCode>General</c:formatCode>
                <c:ptCount val="7"/>
                <c:pt idx="0">
                  <c:v>382</c:v>
                </c:pt>
                <c:pt idx="1">
                  <c:v>215</c:v>
                </c:pt>
                <c:pt idx="2">
                  <c:v>492</c:v>
                </c:pt>
                <c:pt idx="3">
                  <c:v>549</c:v>
                </c:pt>
                <c:pt idx="4">
                  <c:v>490</c:v>
                </c:pt>
                <c:pt idx="5">
                  <c:v>392</c:v>
                </c:pt>
                <c:pt idx="6">
                  <c:v>437</c:v>
                </c:pt>
              </c:numCache>
            </c:numRef>
          </c:val>
          <c:smooth val="0"/>
        </c:ser>
        <c:ser>
          <c:idx val="1"/>
          <c:order val="1"/>
          <c:tx>
            <c:strRef>
              <c:f>'6月综合计算'!$H$56</c:f>
              <c:strCache>
                <c:ptCount val="1"/>
                <c:pt idx="0">
                  <c:v>噪声污染</c:v>
                </c:pt>
              </c:strCache>
            </c:strRef>
          </c:tx>
          <c:spPr>
            <a:ln w="28575" cap="rnd" cmpd="sng" algn="ctr">
              <a:solidFill>
                <a:schemeClr val="accent2"/>
              </a:solidFill>
              <a:prstDash val="solid"/>
              <a:round/>
            </a:ln>
            <a:effectLst/>
          </c:spPr>
          <c:marker>
            <c:symbol val="triangle"/>
            <c:size val="5"/>
            <c:spPr>
              <a:solidFill>
                <a:schemeClr val="accent2"/>
              </a:solidFill>
              <a:ln w="9525" cap="flat" cmpd="sng" algn="ctr">
                <a:solidFill>
                  <a:schemeClr val="accent2"/>
                </a:solidFill>
                <a:prstDash val="solid"/>
                <a:round/>
              </a:ln>
              <a:effectLst/>
            </c:spPr>
          </c:marker>
          <c:cat>
            <c:strRef>
              <c:f>'6月综合计算'!$B$81:$B$87</c:f>
              <c:strCache>
                <c:ptCount val="7"/>
                <c:pt idx="0">
                  <c:v>1月</c:v>
                </c:pt>
                <c:pt idx="1">
                  <c:v>2月</c:v>
                </c:pt>
                <c:pt idx="2">
                  <c:v>3月</c:v>
                </c:pt>
                <c:pt idx="3">
                  <c:v>4月</c:v>
                </c:pt>
                <c:pt idx="4">
                  <c:v>5月</c:v>
                </c:pt>
                <c:pt idx="5">
                  <c:v>6月</c:v>
                </c:pt>
                <c:pt idx="6">
                  <c:v>7月</c:v>
                </c:pt>
              </c:strCache>
            </c:strRef>
          </c:cat>
          <c:val>
            <c:numRef>
              <c:f>'6月综合计算'!$H$81:$H$87</c:f>
              <c:numCache>
                <c:formatCode>General</c:formatCode>
                <c:ptCount val="7"/>
                <c:pt idx="0">
                  <c:v>297</c:v>
                </c:pt>
                <c:pt idx="1">
                  <c:v>193</c:v>
                </c:pt>
                <c:pt idx="2">
                  <c:v>381</c:v>
                </c:pt>
                <c:pt idx="3">
                  <c:v>439</c:v>
                </c:pt>
                <c:pt idx="4">
                  <c:v>349</c:v>
                </c:pt>
                <c:pt idx="5">
                  <c:v>345</c:v>
                </c:pt>
                <c:pt idx="6">
                  <c:v>381</c:v>
                </c:pt>
              </c:numCache>
            </c:numRef>
          </c:val>
          <c:smooth val="0"/>
        </c:ser>
        <c:ser>
          <c:idx val="2"/>
          <c:order val="2"/>
          <c:tx>
            <c:strRef>
              <c:f>'6月综合计算'!$I$56</c:f>
              <c:strCache>
                <c:ptCount val="1"/>
                <c:pt idx="0">
                  <c:v>水污染</c:v>
                </c:pt>
              </c:strCache>
            </c:strRef>
          </c:tx>
          <c:spPr>
            <a:ln w="28575" cap="rnd" cmpd="sng" algn="ctr">
              <a:solidFill>
                <a:schemeClr val="accent6"/>
              </a:solidFill>
              <a:prstDash val="solid"/>
              <a:round/>
            </a:ln>
            <a:effectLst/>
          </c:spPr>
          <c:marker>
            <c:symbol val="diamond"/>
            <c:size val="5"/>
            <c:spPr>
              <a:solidFill>
                <a:schemeClr val="accent6"/>
              </a:solidFill>
              <a:ln w="9525" cap="flat" cmpd="sng" algn="ctr">
                <a:solidFill>
                  <a:schemeClr val="accent3"/>
                </a:solidFill>
                <a:prstDash val="solid"/>
                <a:round/>
              </a:ln>
              <a:effectLst/>
            </c:spPr>
          </c:marker>
          <c:cat>
            <c:strRef>
              <c:f>'6月综合计算'!$B$81:$B$87</c:f>
              <c:strCache>
                <c:ptCount val="7"/>
                <c:pt idx="0">
                  <c:v>1月</c:v>
                </c:pt>
                <c:pt idx="1">
                  <c:v>2月</c:v>
                </c:pt>
                <c:pt idx="2">
                  <c:v>3月</c:v>
                </c:pt>
                <c:pt idx="3">
                  <c:v>4月</c:v>
                </c:pt>
                <c:pt idx="4">
                  <c:v>5月</c:v>
                </c:pt>
                <c:pt idx="5">
                  <c:v>6月</c:v>
                </c:pt>
                <c:pt idx="6">
                  <c:v>7月</c:v>
                </c:pt>
              </c:strCache>
            </c:strRef>
          </c:cat>
          <c:val>
            <c:numRef>
              <c:f>'6月综合计算'!$I$81:$I$87</c:f>
              <c:numCache>
                <c:formatCode>General</c:formatCode>
                <c:ptCount val="7"/>
                <c:pt idx="0">
                  <c:v>192</c:v>
                </c:pt>
                <c:pt idx="1">
                  <c:v>184</c:v>
                </c:pt>
                <c:pt idx="2">
                  <c:v>280</c:v>
                </c:pt>
                <c:pt idx="3">
                  <c:v>259</c:v>
                </c:pt>
                <c:pt idx="4">
                  <c:v>181</c:v>
                </c:pt>
                <c:pt idx="5">
                  <c:v>179</c:v>
                </c:pt>
                <c:pt idx="6">
                  <c:v>229</c:v>
                </c:pt>
              </c:numCache>
            </c:numRef>
          </c:val>
          <c:smooth val="0"/>
        </c:ser>
        <c:ser>
          <c:idx val="3"/>
          <c:order val="3"/>
          <c:tx>
            <c:strRef>
              <c:f>'6月综合计算'!$J$56</c:f>
              <c:strCache>
                <c:ptCount val="1"/>
                <c:pt idx="0">
                  <c:v>固废污染</c:v>
                </c:pt>
              </c:strCache>
            </c:strRef>
          </c:tx>
          <c:spPr>
            <a:ln w="28575" cap="rnd" cmpd="sng" algn="ctr">
              <a:solidFill>
                <a:srgbClr val="7030A0"/>
              </a:solidFill>
              <a:prstDash val="solid"/>
              <a:round/>
            </a:ln>
            <a:effectLst/>
          </c:spPr>
          <c:marker>
            <c:symbol val="circle"/>
            <c:size val="5"/>
            <c:spPr>
              <a:gradFill>
                <a:gsLst>
                  <a:gs pos="0">
                    <a:srgbClr val="7030A0"/>
                  </a:gs>
                  <a:gs pos="100000">
                    <a:srgbClr val="401A5D"/>
                  </a:gs>
                </a:gsLst>
                <a:lin ang="5400000" scaled="0"/>
              </a:gradFill>
              <a:ln w="9525" cap="flat" cmpd="sng" algn="ctr">
                <a:solidFill>
                  <a:srgbClr val="7030A0"/>
                </a:solidFill>
                <a:prstDash val="solid"/>
                <a:round/>
              </a:ln>
              <a:effectLst/>
            </c:spPr>
          </c:marker>
          <c:cat>
            <c:strRef>
              <c:f>'6月综合计算'!$B$81:$B$87</c:f>
              <c:strCache>
                <c:ptCount val="7"/>
                <c:pt idx="0">
                  <c:v>1月</c:v>
                </c:pt>
                <c:pt idx="1">
                  <c:v>2月</c:v>
                </c:pt>
                <c:pt idx="2">
                  <c:v>3月</c:v>
                </c:pt>
                <c:pt idx="3">
                  <c:v>4月</c:v>
                </c:pt>
                <c:pt idx="4">
                  <c:v>5月</c:v>
                </c:pt>
                <c:pt idx="5">
                  <c:v>6月</c:v>
                </c:pt>
                <c:pt idx="6">
                  <c:v>7月</c:v>
                </c:pt>
              </c:strCache>
            </c:strRef>
          </c:cat>
          <c:val>
            <c:numRef>
              <c:f>'6月综合计算'!$J$81:$J$87</c:f>
              <c:numCache>
                <c:formatCode>General</c:formatCode>
                <c:ptCount val="7"/>
                <c:pt idx="0">
                  <c:v>92</c:v>
                </c:pt>
                <c:pt idx="1">
                  <c:v>77</c:v>
                </c:pt>
                <c:pt idx="2">
                  <c:v>105</c:v>
                </c:pt>
                <c:pt idx="3">
                  <c:v>91</c:v>
                </c:pt>
                <c:pt idx="4">
                  <c:v>98</c:v>
                </c:pt>
                <c:pt idx="5">
                  <c:v>81</c:v>
                </c:pt>
                <c:pt idx="6">
                  <c:v>69</c:v>
                </c:pt>
              </c:numCache>
            </c:numRef>
          </c:val>
          <c:smooth val="0"/>
        </c:ser>
        <c:ser>
          <c:idx val="4"/>
          <c:order val="4"/>
          <c:tx>
            <c:strRef>
              <c:f>'6月综合计算'!$K$56</c:f>
              <c:strCache>
                <c:ptCount val="1"/>
                <c:pt idx="0">
                  <c:v>辐射及其他污染</c:v>
                </c:pt>
              </c:strCache>
            </c:strRef>
          </c:tx>
          <c:spPr>
            <a:ln w="25400" cap="rnd" cmpd="sng" algn="ctr">
              <a:solidFill>
                <a:srgbClr val="FF0000"/>
              </a:solidFill>
              <a:prstDash val="solid"/>
              <a:round/>
            </a:ln>
          </c:spPr>
          <c:marker>
            <c:symbol val="x"/>
            <c:size val="3"/>
            <c:spPr>
              <a:noFill/>
              <a:ln w="6350" cap="flat" cmpd="sng" algn="ctr">
                <a:solidFill>
                  <a:srgbClr val="FF0000"/>
                </a:solidFill>
                <a:prstDash val="solid"/>
                <a:round/>
              </a:ln>
            </c:spPr>
          </c:marker>
          <c:cat>
            <c:strRef>
              <c:f>'6月综合计算'!$B$81:$B$87</c:f>
              <c:strCache>
                <c:ptCount val="7"/>
                <c:pt idx="0">
                  <c:v>1月</c:v>
                </c:pt>
                <c:pt idx="1">
                  <c:v>2月</c:v>
                </c:pt>
                <c:pt idx="2">
                  <c:v>3月</c:v>
                </c:pt>
                <c:pt idx="3">
                  <c:v>4月</c:v>
                </c:pt>
                <c:pt idx="4">
                  <c:v>5月</c:v>
                </c:pt>
                <c:pt idx="5">
                  <c:v>6月</c:v>
                </c:pt>
                <c:pt idx="6">
                  <c:v>7月</c:v>
                </c:pt>
              </c:strCache>
            </c:strRef>
          </c:cat>
          <c:val>
            <c:numRef>
              <c:f>'6月综合计算'!$K$81:$K$87</c:f>
              <c:numCache>
                <c:formatCode>General</c:formatCode>
                <c:ptCount val="7"/>
                <c:pt idx="0">
                  <c:v>94</c:v>
                </c:pt>
                <c:pt idx="1">
                  <c:v>57</c:v>
                </c:pt>
                <c:pt idx="2">
                  <c:v>97</c:v>
                </c:pt>
                <c:pt idx="3">
                  <c:v>84</c:v>
                </c:pt>
                <c:pt idx="4">
                  <c:v>88</c:v>
                </c:pt>
                <c:pt idx="5">
                  <c:v>79</c:v>
                </c:pt>
                <c:pt idx="6">
                  <c:v>108</c:v>
                </c:pt>
              </c:numCache>
            </c:numRef>
          </c:val>
          <c:smooth val="0"/>
        </c:ser>
        <c:dLbls>
          <c:showLegendKey val="0"/>
          <c:showVal val="0"/>
          <c:showCatName val="0"/>
          <c:showSerName val="0"/>
          <c:showPercent val="0"/>
          <c:showBubbleSize val="0"/>
        </c:dLbls>
        <c:marker val="1"/>
        <c:smooth val="0"/>
        <c:axId val="945498688"/>
        <c:axId val="947202976"/>
      </c:lineChart>
      <c:catAx>
        <c:axId val="9454986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800" b="1"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crossAx val="947202976"/>
        <c:crosses val="autoZero"/>
        <c:auto val="1"/>
        <c:lblAlgn val="ctr"/>
        <c:lblOffset val="100"/>
        <c:noMultiLvlLbl val="0"/>
      </c:catAx>
      <c:valAx>
        <c:axId val="947202976"/>
        <c:scaling>
          <c:orientation val="minMax"/>
        </c:scaling>
        <c:delete val="0"/>
        <c:axPos val="l"/>
        <c:numFmt formatCode="General" sourceLinked="1"/>
        <c:majorTickMark val="none"/>
        <c:minorTickMark val="none"/>
        <c:tickLblPos val="nextTo"/>
        <c:spPr>
          <a:ln w="6350" cap="flat" cmpd="sng" algn="ctr">
            <a:noFill/>
            <a:prstDash val="solid"/>
            <a:round/>
          </a:ln>
        </c:spPr>
        <c:txPr>
          <a:bodyPr rot="0" spcFirstLastPara="0" vertOverflow="ellipsis" vert="horz" wrap="square" anchor="ctr" anchorCtr="1"/>
          <a:lstStyle/>
          <a:p>
            <a:pPr>
              <a:defRPr lang="zh-CN" sz="900" b="1"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crossAx val="945498688"/>
        <c:crosses val="autoZero"/>
        <c:crossBetween val="between"/>
      </c:valAx>
      <c:spPr>
        <a:noFill/>
        <a:ln w="25400">
          <a:noFill/>
        </a:ln>
      </c:spPr>
    </c:plotArea>
    <c:legend>
      <c:legendPos val="b"/>
      <c:legendEntry>
        <c:idx val="0"/>
        <c:txPr>
          <a:bodyPr rot="0" spcFirstLastPara="0" vertOverflow="ellipsis" vert="horz" wrap="square" anchor="ctr" anchorCtr="1"/>
          <a:lstStyle/>
          <a:p>
            <a:pPr>
              <a:defRPr lang="zh-CN" sz="1000"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Entry>
      <c:legendEntry>
        <c:idx val="1"/>
        <c:txPr>
          <a:bodyPr rot="0" spcFirstLastPara="0" vertOverflow="ellipsis" vert="horz" wrap="square" anchor="ctr" anchorCtr="1"/>
          <a:lstStyle/>
          <a:p>
            <a:pPr>
              <a:defRPr lang="zh-CN" sz="1000"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Entry>
      <c:legendEntry>
        <c:idx val="2"/>
        <c:txPr>
          <a:bodyPr rot="0" spcFirstLastPara="0" vertOverflow="ellipsis" vert="horz" wrap="square" anchor="ctr" anchorCtr="1"/>
          <a:lstStyle/>
          <a:p>
            <a:pPr>
              <a:defRPr lang="zh-CN" sz="1000"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Entry>
      <c:legendEntry>
        <c:idx val="3"/>
        <c:txPr>
          <a:bodyPr rot="0" spcFirstLastPara="0" vertOverflow="ellipsis" vert="horz" wrap="square" anchor="ctr" anchorCtr="1"/>
          <a:lstStyle/>
          <a:p>
            <a:pPr>
              <a:defRPr lang="zh-CN" sz="1000"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Entry>
      <c:legendEntry>
        <c:idx val="4"/>
        <c:txPr>
          <a:bodyPr rot="0" spcFirstLastPara="0" vertOverflow="ellipsis" vert="horz" wrap="square" anchor="ctr" anchorCtr="1"/>
          <a:lstStyle/>
          <a:p>
            <a:pPr>
              <a:defRPr lang="zh-CN" sz="1000"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6.1261330187977497E-2"/>
          <c:y val="2.29805577837074E-2"/>
          <c:w val="0.89142670931315804"/>
          <c:h val="7.4087339914111594E-2"/>
        </c:manualLayout>
      </c:layout>
      <c:overlay val="0"/>
      <c:spPr>
        <a:noFill/>
        <a:ln w="3175">
          <a:noFill/>
        </a:ln>
      </c:spPr>
      <c:txPr>
        <a:bodyPr rot="0" spcFirstLastPara="0" vertOverflow="ellipsis" vert="horz" wrap="square" anchor="ctr" anchorCtr="1"/>
        <a:lstStyle/>
        <a:p>
          <a:pPr>
            <a:defRPr lang="zh-CN" sz="1000" b="1"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rgbClr val="FFFFFF"/>
    </a:solidFill>
    <a:ln w="6350" cap="flat" cmpd="sng" algn="ctr">
      <a:no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'6月综合计算'!$C$28</c:f>
              <c:strCache>
                <c:ptCount val="1"/>
                <c:pt idx="0">
                  <c:v>电话投诉（件）</c:v>
                </c:pt>
              </c:strCache>
            </c:strRef>
          </c:tx>
          <c:spPr>
            <a:solidFill>
              <a:srgbClr val="5B9BD5"/>
            </a:solidFill>
            <a:ln w="25400">
              <a:noFill/>
            </a:ln>
          </c:spPr>
          <c:invertIfNegative val="0"/>
          <c:cat>
            <c:strRef>
              <c:f>'6月综合计算'!$B$29:$B$49</c:f>
              <c:strCache>
                <c:ptCount val="21"/>
                <c:pt idx="0">
                  <c:v>成都市</c:v>
                </c:pt>
                <c:pt idx="1">
                  <c:v>达州市</c:v>
                </c:pt>
                <c:pt idx="2">
                  <c:v>内江市</c:v>
                </c:pt>
                <c:pt idx="3">
                  <c:v>广安市</c:v>
                </c:pt>
                <c:pt idx="4">
                  <c:v>南充市</c:v>
                </c:pt>
                <c:pt idx="5">
                  <c:v>德阳市</c:v>
                </c:pt>
                <c:pt idx="6">
                  <c:v>乐山市</c:v>
                </c:pt>
                <c:pt idx="7">
                  <c:v>绵阳市</c:v>
                </c:pt>
                <c:pt idx="8">
                  <c:v>凉山州</c:v>
                </c:pt>
                <c:pt idx="9">
                  <c:v>泸州市</c:v>
                </c:pt>
                <c:pt idx="10">
                  <c:v>眉山市</c:v>
                </c:pt>
                <c:pt idx="11">
                  <c:v>宜宾市</c:v>
                </c:pt>
                <c:pt idx="12">
                  <c:v>广元市</c:v>
                </c:pt>
                <c:pt idx="13">
                  <c:v>雅安市</c:v>
                </c:pt>
                <c:pt idx="14">
                  <c:v>阿坝州</c:v>
                </c:pt>
                <c:pt idx="15">
                  <c:v>自贡市</c:v>
                </c:pt>
                <c:pt idx="16">
                  <c:v>遂宁市</c:v>
                </c:pt>
                <c:pt idx="17">
                  <c:v>攀枝花市</c:v>
                </c:pt>
                <c:pt idx="18">
                  <c:v>巴中市</c:v>
                </c:pt>
                <c:pt idx="19">
                  <c:v>资阳市</c:v>
                </c:pt>
                <c:pt idx="20">
                  <c:v>甘孜州</c:v>
                </c:pt>
              </c:strCache>
            </c:strRef>
          </c:cat>
          <c:val>
            <c:numRef>
              <c:f>'6月综合计算'!$C$29:$C$49</c:f>
              <c:numCache>
                <c:formatCode>General</c:formatCode>
                <c:ptCount val="21"/>
                <c:pt idx="0">
                  <c:v>86</c:v>
                </c:pt>
                <c:pt idx="1">
                  <c:v>35</c:v>
                </c:pt>
                <c:pt idx="2">
                  <c:v>36</c:v>
                </c:pt>
                <c:pt idx="3">
                  <c:v>26</c:v>
                </c:pt>
                <c:pt idx="4">
                  <c:v>18</c:v>
                </c:pt>
                <c:pt idx="5">
                  <c:v>9</c:v>
                </c:pt>
                <c:pt idx="6">
                  <c:v>3</c:v>
                </c:pt>
                <c:pt idx="7">
                  <c:v>12</c:v>
                </c:pt>
                <c:pt idx="8">
                  <c:v>2</c:v>
                </c:pt>
                <c:pt idx="9">
                  <c:v>14</c:v>
                </c:pt>
                <c:pt idx="10">
                  <c:v>6</c:v>
                </c:pt>
                <c:pt idx="11">
                  <c:v>0</c:v>
                </c:pt>
                <c:pt idx="12">
                  <c:v>5</c:v>
                </c:pt>
                <c:pt idx="13">
                  <c:v>4</c:v>
                </c:pt>
                <c:pt idx="14">
                  <c:v>1</c:v>
                </c:pt>
                <c:pt idx="15">
                  <c:v>2</c:v>
                </c:pt>
                <c:pt idx="16">
                  <c:v>8</c:v>
                </c:pt>
                <c:pt idx="17">
                  <c:v>2</c:v>
                </c:pt>
                <c:pt idx="18">
                  <c:v>2</c:v>
                </c:pt>
                <c:pt idx="19">
                  <c:v>0</c:v>
                </c:pt>
                <c:pt idx="20">
                  <c:v>0</c:v>
                </c:pt>
              </c:numCache>
            </c:numRef>
          </c:val>
        </c:ser>
        <c:ser>
          <c:idx val="1"/>
          <c:order val="1"/>
          <c:tx>
            <c:strRef>
              <c:f>'6月综合计算'!$D$28</c:f>
              <c:strCache>
                <c:ptCount val="1"/>
                <c:pt idx="0">
                  <c:v>微信投诉（件）</c:v>
                </c:pt>
              </c:strCache>
            </c:strRef>
          </c:tx>
          <c:spPr>
            <a:solidFill>
              <a:srgbClr val="ED7D31"/>
            </a:solidFill>
            <a:ln w="25400">
              <a:noFill/>
            </a:ln>
          </c:spPr>
          <c:invertIfNegative val="0"/>
          <c:cat>
            <c:strRef>
              <c:f>'6月综合计算'!$B$29:$B$49</c:f>
              <c:strCache>
                <c:ptCount val="21"/>
                <c:pt idx="0">
                  <c:v>成都市</c:v>
                </c:pt>
                <c:pt idx="1">
                  <c:v>达州市</c:v>
                </c:pt>
                <c:pt idx="2">
                  <c:v>内江市</c:v>
                </c:pt>
                <c:pt idx="3">
                  <c:v>广安市</c:v>
                </c:pt>
                <c:pt idx="4">
                  <c:v>南充市</c:v>
                </c:pt>
                <c:pt idx="5">
                  <c:v>德阳市</c:v>
                </c:pt>
                <c:pt idx="6">
                  <c:v>乐山市</c:v>
                </c:pt>
                <c:pt idx="7">
                  <c:v>绵阳市</c:v>
                </c:pt>
                <c:pt idx="8">
                  <c:v>凉山州</c:v>
                </c:pt>
                <c:pt idx="9">
                  <c:v>泸州市</c:v>
                </c:pt>
                <c:pt idx="10">
                  <c:v>眉山市</c:v>
                </c:pt>
                <c:pt idx="11">
                  <c:v>宜宾市</c:v>
                </c:pt>
                <c:pt idx="12">
                  <c:v>广元市</c:v>
                </c:pt>
                <c:pt idx="13">
                  <c:v>雅安市</c:v>
                </c:pt>
                <c:pt idx="14">
                  <c:v>阿坝州</c:v>
                </c:pt>
                <c:pt idx="15">
                  <c:v>自贡市</c:v>
                </c:pt>
                <c:pt idx="16">
                  <c:v>遂宁市</c:v>
                </c:pt>
                <c:pt idx="17">
                  <c:v>攀枝花市</c:v>
                </c:pt>
                <c:pt idx="18">
                  <c:v>巴中市</c:v>
                </c:pt>
                <c:pt idx="19">
                  <c:v>资阳市</c:v>
                </c:pt>
                <c:pt idx="20">
                  <c:v>甘孜州</c:v>
                </c:pt>
              </c:strCache>
            </c:strRef>
          </c:cat>
          <c:val>
            <c:numRef>
              <c:f>'6月综合计算'!$D$29:$D$49</c:f>
              <c:numCache>
                <c:formatCode>General</c:formatCode>
                <c:ptCount val="21"/>
                <c:pt idx="0">
                  <c:v>98</c:v>
                </c:pt>
                <c:pt idx="1">
                  <c:v>14</c:v>
                </c:pt>
                <c:pt idx="2">
                  <c:v>8</c:v>
                </c:pt>
                <c:pt idx="3">
                  <c:v>13</c:v>
                </c:pt>
                <c:pt idx="4">
                  <c:v>9</c:v>
                </c:pt>
                <c:pt idx="5">
                  <c:v>20</c:v>
                </c:pt>
                <c:pt idx="6">
                  <c:v>22</c:v>
                </c:pt>
                <c:pt idx="7">
                  <c:v>10</c:v>
                </c:pt>
                <c:pt idx="8">
                  <c:v>23</c:v>
                </c:pt>
                <c:pt idx="9">
                  <c:v>8</c:v>
                </c:pt>
                <c:pt idx="10">
                  <c:v>13</c:v>
                </c:pt>
                <c:pt idx="11">
                  <c:v>20</c:v>
                </c:pt>
                <c:pt idx="12">
                  <c:v>5</c:v>
                </c:pt>
                <c:pt idx="13">
                  <c:v>10</c:v>
                </c:pt>
                <c:pt idx="14">
                  <c:v>9</c:v>
                </c:pt>
                <c:pt idx="15">
                  <c:v>6</c:v>
                </c:pt>
                <c:pt idx="16">
                  <c:v>1</c:v>
                </c:pt>
                <c:pt idx="17">
                  <c:v>1</c:v>
                </c:pt>
                <c:pt idx="18">
                  <c:v>2</c:v>
                </c:pt>
                <c:pt idx="19">
                  <c:v>4</c:v>
                </c:pt>
                <c:pt idx="20">
                  <c:v>1</c:v>
                </c:pt>
              </c:numCache>
            </c:numRef>
          </c:val>
        </c:ser>
        <c:ser>
          <c:idx val="2"/>
          <c:order val="2"/>
          <c:tx>
            <c:strRef>
              <c:f>'6月综合计算'!$E$28</c:f>
              <c:strCache>
                <c:ptCount val="1"/>
                <c:pt idx="0">
                  <c:v>网络投诉（件）</c:v>
                </c:pt>
              </c:strCache>
            </c:strRef>
          </c:tx>
          <c:spPr>
            <a:solidFill>
              <a:srgbClr val="A5A5A5"/>
            </a:solidFill>
            <a:ln w="25400">
              <a:noFill/>
            </a:ln>
          </c:spPr>
          <c:invertIfNegative val="0"/>
          <c:cat>
            <c:strRef>
              <c:f>'6月综合计算'!$B$29:$B$49</c:f>
              <c:strCache>
                <c:ptCount val="21"/>
                <c:pt idx="0">
                  <c:v>成都市</c:v>
                </c:pt>
                <c:pt idx="1">
                  <c:v>达州市</c:v>
                </c:pt>
                <c:pt idx="2">
                  <c:v>内江市</c:v>
                </c:pt>
                <c:pt idx="3">
                  <c:v>广安市</c:v>
                </c:pt>
                <c:pt idx="4">
                  <c:v>南充市</c:v>
                </c:pt>
                <c:pt idx="5">
                  <c:v>德阳市</c:v>
                </c:pt>
                <c:pt idx="6">
                  <c:v>乐山市</c:v>
                </c:pt>
                <c:pt idx="7">
                  <c:v>绵阳市</c:v>
                </c:pt>
                <c:pt idx="8">
                  <c:v>凉山州</c:v>
                </c:pt>
                <c:pt idx="9">
                  <c:v>泸州市</c:v>
                </c:pt>
                <c:pt idx="10">
                  <c:v>眉山市</c:v>
                </c:pt>
                <c:pt idx="11">
                  <c:v>宜宾市</c:v>
                </c:pt>
                <c:pt idx="12">
                  <c:v>广元市</c:v>
                </c:pt>
                <c:pt idx="13">
                  <c:v>雅安市</c:v>
                </c:pt>
                <c:pt idx="14">
                  <c:v>阿坝州</c:v>
                </c:pt>
                <c:pt idx="15">
                  <c:v>自贡市</c:v>
                </c:pt>
                <c:pt idx="16">
                  <c:v>遂宁市</c:v>
                </c:pt>
                <c:pt idx="17">
                  <c:v>攀枝花市</c:v>
                </c:pt>
                <c:pt idx="18">
                  <c:v>巴中市</c:v>
                </c:pt>
                <c:pt idx="19">
                  <c:v>资阳市</c:v>
                </c:pt>
                <c:pt idx="20">
                  <c:v>甘孜州</c:v>
                </c:pt>
              </c:strCache>
            </c:strRef>
          </c:cat>
          <c:val>
            <c:numRef>
              <c:f>'6月综合计算'!$E$29:$E$49</c:f>
              <c:numCache>
                <c:formatCode>General</c:formatCode>
                <c:ptCount val="21"/>
                <c:pt idx="0">
                  <c:v>35</c:v>
                </c:pt>
                <c:pt idx="1">
                  <c:v>3</c:v>
                </c:pt>
                <c:pt idx="2">
                  <c:v>2</c:v>
                </c:pt>
                <c:pt idx="3">
                  <c:v>5</c:v>
                </c:pt>
                <c:pt idx="4">
                  <c:v>6</c:v>
                </c:pt>
                <c:pt idx="5">
                  <c:v>2</c:v>
                </c:pt>
                <c:pt idx="6">
                  <c:v>6</c:v>
                </c:pt>
                <c:pt idx="7">
                  <c:v>4</c:v>
                </c:pt>
                <c:pt idx="8">
                  <c:v>0</c:v>
                </c:pt>
                <c:pt idx="9">
                  <c:v>2</c:v>
                </c:pt>
                <c:pt idx="10">
                  <c:v>5</c:v>
                </c:pt>
                <c:pt idx="11">
                  <c:v>2</c:v>
                </c:pt>
                <c:pt idx="12">
                  <c:v>8</c:v>
                </c:pt>
                <c:pt idx="13">
                  <c:v>0</c:v>
                </c:pt>
                <c:pt idx="14">
                  <c:v>3</c:v>
                </c:pt>
                <c:pt idx="15">
                  <c:v>2</c:v>
                </c:pt>
                <c:pt idx="16">
                  <c:v>0</c:v>
                </c:pt>
                <c:pt idx="17">
                  <c:v>2</c:v>
                </c:pt>
                <c:pt idx="18">
                  <c:v>0</c:v>
                </c:pt>
                <c:pt idx="19">
                  <c:v>0</c:v>
                </c:pt>
                <c:pt idx="20">
                  <c:v>0</c:v>
                </c:pt>
              </c:numCache>
            </c:numRef>
          </c:val>
        </c:ser>
        <c:dLbls>
          <c:showLegendKey val="0"/>
          <c:showVal val="0"/>
          <c:showCatName val="0"/>
          <c:showSerName val="0"/>
          <c:showPercent val="0"/>
          <c:showBubbleSize val="0"/>
        </c:dLbls>
        <c:gapWidth val="150"/>
        <c:overlap val="100"/>
        <c:axId val="947203760"/>
        <c:axId val="947204152"/>
      </c:barChart>
      <c:catAx>
        <c:axId val="94720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47204152"/>
        <c:crosses val="autoZero"/>
        <c:auto val="1"/>
        <c:lblAlgn val="ctr"/>
        <c:lblOffset val="100"/>
        <c:noMultiLvlLbl val="0"/>
      </c:catAx>
      <c:valAx>
        <c:axId val="9472041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6350"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4720376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198</Words>
  <Characters>1134</Characters>
  <Application>Microsoft Office Word</Application>
  <DocSecurity>0</DocSecurity>
  <Lines>9</Lines>
  <Paragraphs>2</Paragraphs>
  <ScaleCrop>false</ScaleCrop>
  <Company>Microsoft</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王雨馨</dc:creator>
  <cp:lastModifiedBy>李眉</cp:lastModifiedBy>
  <cp:revision>5</cp:revision>
  <cp:lastPrinted>2019-08-19T06:42:00Z</cp:lastPrinted>
  <dcterms:created xsi:type="dcterms:W3CDTF">2019-08-20T08:39:00Z</dcterms:created>
  <dcterms:modified xsi:type="dcterms:W3CDTF">2019-08-20T08:46:00Z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