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9B1E5">
      <w:pPr>
        <w:pStyle w:val="2"/>
        <w:pageBreakBefore/>
        <w:snapToGrid w:val="0"/>
        <w:spacing w:before="0" w:after="0" w:line="312" w:lineRule="auto"/>
        <w:jc w:val="center"/>
        <w:rPr>
          <w:rFonts w:hint="eastAsia" w:ascii="仿宋" w:hAnsi="仿宋" w:eastAsia="仿宋" w:cs="仿宋"/>
          <w:color w:val="auto"/>
          <w:sz w:val="28"/>
          <w:szCs w:val="28"/>
          <w:highlight w:val="none"/>
        </w:rPr>
      </w:pPr>
      <w:bookmarkStart w:id="0" w:name="_Toc24352"/>
      <w:r>
        <w:rPr>
          <w:rFonts w:hint="eastAsia" w:ascii="仿宋" w:hAnsi="仿宋" w:eastAsia="仿宋" w:cs="仿宋"/>
          <w:color w:val="auto"/>
          <w:sz w:val="36"/>
          <w:szCs w:val="36"/>
          <w:highlight w:val="none"/>
        </w:rPr>
        <w:t xml:space="preserve">  采购项目技术、服务、商务及其他要求</w:t>
      </w:r>
      <w:bookmarkEnd w:id="0"/>
      <w:bookmarkStart w:id="1" w:name="_Hlk45530010"/>
    </w:p>
    <w:p w14:paraId="5EF5CE19">
      <w:pPr>
        <w:snapToGrid w:val="0"/>
        <w:spacing w:line="312" w:lineRule="auto"/>
        <w:ind w:firstLine="241" w:firstLineChars="100"/>
        <w:outlineLvl w:val="1"/>
        <w:rPr>
          <w:rFonts w:hint="eastAsia" w:ascii="仿宋" w:hAnsi="仿宋" w:eastAsia="仿宋" w:cs="仿宋"/>
          <w:b/>
          <w:color w:val="auto"/>
          <w:sz w:val="24"/>
          <w:highlight w:val="none"/>
        </w:rPr>
      </w:pPr>
      <w:r>
        <w:rPr>
          <w:rFonts w:hint="eastAsia" w:ascii="仿宋" w:hAnsi="仿宋" w:eastAsia="仿宋" w:cs="仿宋"/>
          <w:b/>
          <w:bCs/>
          <w:color w:val="auto"/>
          <w:kern w:val="44"/>
          <w:sz w:val="24"/>
          <w:highlight w:val="none"/>
        </w:rPr>
        <w:t>注：本章中</w:t>
      </w:r>
      <w:r>
        <w:rPr>
          <w:rFonts w:hint="eastAsia" w:ascii="仿宋" w:hAnsi="仿宋" w:eastAsia="仿宋" w:cs="仿宋"/>
          <w:b/>
          <w:color w:val="auto"/>
          <w:sz w:val="24"/>
          <w:highlight w:val="none"/>
        </w:rPr>
        <w:t>带“★”项内容为本项目实质性要求，未响应或不满足，按无效响应处理。</w:t>
      </w:r>
      <w:r>
        <w:rPr>
          <w:rFonts w:hint="eastAsia" w:ascii="仿宋" w:hAnsi="仿宋" w:eastAsia="仿宋" w:cs="仿宋"/>
          <w:b/>
          <w:color w:val="auto"/>
          <w:sz w:val="28"/>
          <w:szCs w:val="28"/>
          <w:highlight w:val="none"/>
        </w:rPr>
        <w:br w:type="textWrapping"/>
      </w:r>
      <w:r>
        <w:rPr>
          <w:rFonts w:hint="eastAsia" w:ascii="仿宋" w:hAnsi="仿宋" w:eastAsia="仿宋" w:cs="仿宋"/>
          <w:b/>
          <w:bCs/>
          <w:color w:val="auto"/>
          <w:kern w:val="44"/>
          <w:sz w:val="28"/>
          <w:szCs w:val="28"/>
          <w:highlight w:val="none"/>
        </w:rPr>
        <w:t>一、项目概况</w:t>
      </w:r>
    </w:p>
    <w:p w14:paraId="2887A024">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（一）项目概述</w:t>
      </w:r>
    </w:p>
    <w:p w14:paraId="03AA6E33">
      <w:pPr>
        <w:snapToGrid w:val="0"/>
        <w:spacing w:line="312" w:lineRule="auto"/>
        <w:ind w:firstLine="480" w:firstLineChars="200"/>
        <w:rPr>
          <w:rFonts w:hint="eastAsia" w:ascii="仿宋" w:hAnsi="仿宋" w:eastAsia="仿宋" w:cs="仿宋"/>
          <w:color w:val="auto"/>
          <w:kern w:val="44"/>
          <w:sz w:val="24"/>
          <w:highlight w:val="none"/>
          <w:lang w:val="en-US" w:eastAsia="zh-CN"/>
        </w:rPr>
      </w:pPr>
      <w:r>
        <w:rPr>
          <w:rFonts w:hint="eastAsia" w:ascii="仿宋" w:hAnsi="仿宋" w:eastAsia="仿宋" w:cs="仿宋"/>
          <w:color w:val="auto"/>
          <w:kern w:val="44"/>
          <w:sz w:val="24"/>
          <w:highlight w:val="none"/>
          <w:lang w:val="en-US" w:eastAsia="zh-CN"/>
        </w:rPr>
        <w:t>为持续深入打好碧水保卫战，贯彻落实《国务院办公厅关于加强入河入海排污口监督管理工作的实施意见》《入河排污口监督管理办法》等要求，进一步科学支撑入河排污口设置论证，采购人拟开展宜宾市金沙江（约15公里）、资阳市索溪河（约20公里）水生态调查，针对其相关事项选择一家专业机构为本项目提供服务。</w:t>
      </w:r>
    </w:p>
    <w:p w14:paraId="7DF0C591">
      <w:pPr>
        <w:snapToGrid w:val="0"/>
        <w:spacing w:line="312" w:lineRule="auto"/>
        <w:ind w:firstLine="480" w:firstLineChars="200"/>
        <w:rPr>
          <w:rFonts w:hint="eastAsia" w:ascii="仿宋" w:hAnsi="仿宋" w:eastAsia="仿宋" w:cs="仿宋"/>
          <w:b/>
          <w:bCs/>
          <w:color w:val="auto"/>
          <w:kern w:val="44"/>
          <w:sz w:val="28"/>
          <w:szCs w:val="28"/>
          <w:highlight w:val="none"/>
        </w:rPr>
      </w:pPr>
      <w:bookmarkStart w:id="36" w:name="_GoBack"/>
      <w:r>
        <w:rPr>
          <w:rFonts w:hint="eastAsia" w:ascii="仿宋" w:hAnsi="仿宋" w:eastAsia="仿宋" w:cs="仿宋"/>
          <w:color w:val="auto"/>
          <w:kern w:val="44"/>
          <w:sz w:val="24"/>
          <w:highlight w:val="none"/>
          <w:lang w:val="en-US" w:eastAsia="zh-CN"/>
        </w:rPr>
        <w:t>流域</w:t>
      </w:r>
      <w:r>
        <w:rPr>
          <w:rFonts w:hint="eastAsia" w:ascii="仿宋" w:hAnsi="仿宋" w:eastAsia="仿宋" w:cs="仿宋"/>
          <w:color w:val="auto"/>
          <w:kern w:val="44"/>
          <w:sz w:val="24"/>
          <w:highlight w:val="none"/>
          <w:lang w:eastAsia="zh-CN"/>
        </w:rPr>
        <w:t>水生态环境调查服务项目</w:t>
      </w:r>
      <w:bookmarkEnd w:id="36"/>
      <w:r>
        <w:rPr>
          <w:rFonts w:hint="eastAsia" w:ascii="仿宋" w:hAnsi="仿宋" w:eastAsia="仿宋" w:cs="仿宋"/>
          <w:color w:val="auto"/>
          <w:kern w:val="44"/>
          <w:sz w:val="24"/>
          <w:highlight w:val="none"/>
        </w:rPr>
        <w:t>，本次采购共分1个包。</w:t>
      </w:r>
    </w:p>
    <w:p w14:paraId="1D19D482">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（二）标的名称及所属行业</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4974"/>
        <w:gridCol w:w="2779"/>
      </w:tblGrid>
      <w:tr w14:paraId="1E5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6" w:type="dxa"/>
            <w:noWrap w:val="0"/>
            <w:vAlign w:val="center"/>
          </w:tcPr>
          <w:p w14:paraId="595137DB">
            <w:pPr>
              <w:pStyle w:val="3"/>
              <w:snapToGrid w:val="0"/>
              <w:spacing w:line="312" w:lineRule="auto"/>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215" w:type="dxa"/>
            <w:noWrap w:val="0"/>
            <w:vAlign w:val="center"/>
          </w:tcPr>
          <w:p w14:paraId="7B7F75FC">
            <w:pPr>
              <w:pStyle w:val="3"/>
              <w:snapToGrid w:val="0"/>
              <w:spacing w:line="312" w:lineRule="auto"/>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标的名称</w:t>
            </w:r>
          </w:p>
        </w:tc>
        <w:tc>
          <w:tcPr>
            <w:tcW w:w="2903" w:type="dxa"/>
            <w:noWrap w:val="0"/>
            <w:vAlign w:val="center"/>
          </w:tcPr>
          <w:p w14:paraId="3465DEF4">
            <w:pPr>
              <w:pStyle w:val="3"/>
              <w:snapToGrid w:val="0"/>
              <w:spacing w:line="312" w:lineRule="auto"/>
              <w:ind w:firstLine="0" w:firstLineChars="0"/>
              <w:jc w:val="center"/>
              <w:rPr>
                <w:rFonts w:hint="eastAsia" w:ascii="仿宋" w:hAnsi="仿宋" w:eastAsia="仿宋" w:cs="仿宋"/>
                <w:color w:val="auto"/>
                <w:kern w:val="44"/>
                <w:sz w:val="24"/>
                <w:highlight w:val="none"/>
              </w:rPr>
            </w:pPr>
            <w:r>
              <w:rPr>
                <w:rFonts w:hint="eastAsia" w:ascii="仿宋" w:hAnsi="仿宋" w:eastAsia="仿宋" w:cs="仿宋"/>
                <w:b/>
                <w:color w:val="auto"/>
                <w:sz w:val="24"/>
                <w:highlight w:val="none"/>
              </w:rPr>
              <w:t>所属行业</w:t>
            </w:r>
          </w:p>
        </w:tc>
      </w:tr>
      <w:tr w14:paraId="3F1C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86" w:type="dxa"/>
            <w:noWrap w:val="0"/>
            <w:vAlign w:val="center"/>
          </w:tcPr>
          <w:p w14:paraId="07AFC0DF">
            <w:pPr>
              <w:pStyle w:val="3"/>
              <w:snapToGrid w:val="0"/>
              <w:spacing w:line="312" w:lineRule="auto"/>
              <w:ind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5215" w:type="dxa"/>
            <w:noWrap w:val="0"/>
            <w:vAlign w:val="center"/>
          </w:tcPr>
          <w:p w14:paraId="13E94C36">
            <w:pPr>
              <w:pStyle w:val="3"/>
              <w:snapToGrid w:val="0"/>
              <w:spacing w:line="312" w:lineRule="auto"/>
              <w:ind w:firstLine="0" w:firstLineChars="0"/>
              <w:jc w:val="center"/>
              <w:rPr>
                <w:rFonts w:ascii="仿宋" w:hAnsi="仿宋" w:eastAsia="仿宋" w:cs="仿宋"/>
                <w:bCs/>
                <w:color w:val="auto"/>
                <w:sz w:val="24"/>
                <w:highlight w:val="none"/>
              </w:rPr>
            </w:pPr>
            <w:r>
              <w:rPr>
                <w:rFonts w:hint="eastAsia" w:ascii="仿宋" w:hAnsi="仿宋" w:eastAsia="仿宋" w:cs="仿宋"/>
                <w:color w:val="auto"/>
                <w:kern w:val="44"/>
                <w:sz w:val="24"/>
                <w:highlight w:val="none"/>
                <w:lang w:val="en-US" w:eastAsia="zh-CN"/>
              </w:rPr>
              <w:t>流域</w:t>
            </w:r>
            <w:r>
              <w:rPr>
                <w:rFonts w:hint="eastAsia" w:ascii="仿宋" w:hAnsi="仿宋" w:eastAsia="仿宋" w:cs="仿宋"/>
                <w:color w:val="auto"/>
                <w:kern w:val="44"/>
                <w:sz w:val="24"/>
                <w:highlight w:val="none"/>
                <w:lang w:eastAsia="zh-CN"/>
              </w:rPr>
              <w:t>水生态环境调查服务</w:t>
            </w:r>
          </w:p>
        </w:tc>
        <w:tc>
          <w:tcPr>
            <w:tcW w:w="2903" w:type="dxa"/>
            <w:noWrap w:val="0"/>
            <w:vAlign w:val="center"/>
          </w:tcPr>
          <w:p w14:paraId="28CFFC6A">
            <w:pPr>
              <w:pStyle w:val="3"/>
              <w:snapToGrid w:val="0"/>
              <w:spacing w:line="312" w:lineRule="auto"/>
              <w:ind w:firstLine="0" w:firstLineChars="0"/>
              <w:jc w:val="center"/>
              <w:rPr>
                <w:rFonts w:ascii="仿宋" w:hAnsi="仿宋" w:eastAsia="仿宋" w:cs="仿宋"/>
                <w:color w:val="auto"/>
                <w:kern w:val="44"/>
                <w:sz w:val="24"/>
                <w:highlight w:val="none"/>
              </w:rPr>
            </w:pPr>
            <w:r>
              <w:rPr>
                <w:rFonts w:ascii="仿宋" w:hAnsi="仿宋" w:eastAsia="仿宋" w:cs="仿宋"/>
                <w:color w:val="auto"/>
                <w:kern w:val="44"/>
                <w:sz w:val="24"/>
                <w:highlight w:val="none"/>
              </w:rPr>
              <w:t>其他未列明行业</w:t>
            </w:r>
          </w:p>
        </w:tc>
      </w:tr>
    </w:tbl>
    <w:p w14:paraId="4100122C">
      <w:pPr>
        <w:snapToGrid w:val="0"/>
        <w:spacing w:line="312" w:lineRule="auto"/>
        <w:ind w:firstLine="480" w:firstLineChars="200"/>
        <w:rPr>
          <w:rFonts w:hint="eastAsia" w:ascii="仿宋" w:hAnsi="仿宋" w:eastAsia="仿宋" w:cs="仿宋"/>
          <w:color w:val="auto"/>
          <w:kern w:val="44"/>
          <w:sz w:val="24"/>
          <w:highlight w:val="none"/>
        </w:rPr>
      </w:pPr>
      <w:r>
        <w:rPr>
          <w:rFonts w:hint="eastAsia" w:ascii="仿宋" w:hAnsi="仿宋" w:eastAsia="仿宋" w:cs="仿宋"/>
          <w:color w:val="auto"/>
          <w:kern w:val="44"/>
          <w:sz w:val="24"/>
          <w:highlight w:val="none"/>
        </w:rPr>
        <w:t>注：1、上表中“所属行业”系指“《工业和信息化部、国家统计局、国家发展和改革委员会、财政部关于印发中小企业划型标准规定的通知》（工信部联企业〔2011〕300号文件）、《统计上大中小微型企业划分办法（2017）》附表：统计上大中小微型企业划分标准”规定的中小企业划型标准所属行业。</w:t>
      </w:r>
    </w:p>
    <w:p w14:paraId="26AA2159">
      <w:pPr>
        <w:snapToGrid w:val="0"/>
        <w:spacing w:line="312" w:lineRule="auto"/>
        <w:ind w:firstLine="482" w:firstLineChars="200"/>
        <w:rPr>
          <w:rFonts w:ascii="仿宋" w:hAnsi="仿宋" w:eastAsia="仿宋" w:cs="仿宋"/>
          <w:b/>
          <w:bCs/>
          <w:color w:val="auto"/>
          <w:kern w:val="0"/>
          <w:sz w:val="24"/>
          <w:szCs w:val="24"/>
          <w:highlight w:val="none"/>
        </w:rPr>
      </w:pPr>
      <w:r>
        <w:rPr>
          <w:rFonts w:hint="eastAsia" w:ascii="仿宋" w:hAnsi="仿宋" w:eastAsia="仿宋" w:cs="仿宋"/>
          <w:b/>
          <w:bCs/>
          <w:color w:val="auto"/>
          <w:kern w:val="44"/>
          <w:sz w:val="24"/>
          <w:highlight w:val="none"/>
        </w:rPr>
        <w:t>2、供应商应按照上表所列标的名称、所属行业填写《中小企业声明函》</w:t>
      </w:r>
      <w:r>
        <w:rPr>
          <w:rFonts w:hint="eastAsia" w:ascii="仿宋" w:hAnsi="仿宋" w:eastAsia="仿宋" w:cs="仿宋"/>
          <w:b/>
          <w:bCs/>
          <w:color w:val="auto"/>
          <w:kern w:val="0"/>
          <w:sz w:val="24"/>
          <w:szCs w:val="24"/>
          <w:highlight w:val="none"/>
        </w:rPr>
        <w:t>。</w:t>
      </w:r>
    </w:p>
    <w:p w14:paraId="6B6B3B21">
      <w:pPr>
        <w:pStyle w:val="4"/>
        <w:rPr>
          <w:rFonts w:hint="eastAsia"/>
          <w:color w:val="auto"/>
          <w:highlight w:val="none"/>
        </w:rPr>
      </w:pPr>
    </w:p>
    <w:p w14:paraId="3E814F68">
      <w:pPr>
        <w:snapToGrid w:val="0"/>
        <w:spacing w:line="312" w:lineRule="auto"/>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二、技术、服务要求</w:t>
      </w:r>
    </w:p>
    <w:p w14:paraId="5DDB83C3">
      <w:pPr>
        <w:snapToGrid w:val="0"/>
        <w:spacing w:line="312" w:lineRule="auto"/>
        <w:ind w:firstLine="562" w:firstLineChars="200"/>
        <w:outlineLvl w:val="1"/>
        <w:rPr>
          <w:rFonts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（一）服务内容及要求</w:t>
      </w:r>
    </w:p>
    <w:p w14:paraId="12DACCC2">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sz w:val="24"/>
          <w:szCs w:val="24"/>
          <w:highlight w:val="none"/>
          <w:lang w:val="en-US" w:eastAsia="zh-CN"/>
        </w:rPr>
        <w:t>1、调查需求</w:t>
      </w:r>
    </w:p>
    <w:p w14:paraId="2C3ADA9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（1）开展宜宾市金沙江（约15公里）、资阳市索溪河（约20公里）水生态现场调查。</w:t>
      </w:r>
    </w:p>
    <w:p w14:paraId="1126460E">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（2）完成调查上述两条流域水生态调查报告编写，并配合完成相应排污口设置论证报告内水生态调查相关内容。</w:t>
      </w:r>
    </w:p>
    <w:p w14:paraId="321F2161">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bCs/>
          <w:sz w:val="24"/>
          <w:szCs w:val="24"/>
          <w:highlight w:val="none"/>
          <w:lang w:val="en-US" w:eastAsia="zh-CN"/>
        </w:rPr>
        <w:t>2、调查范围</w:t>
      </w:r>
    </w:p>
    <w:p w14:paraId="4E61707D">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（1）宜宾市金沙江:起始位置（</w:t>
      </w:r>
      <w:r>
        <w:rPr>
          <w:rFonts w:hint="eastAsia" w:ascii="仿宋" w:hAnsi="仿宋" w:eastAsia="仿宋" w:cs="仿宋"/>
          <w:sz w:val="24"/>
          <w:szCs w:val="24"/>
          <w:highlight w:val="none"/>
          <w:vertAlign w:val="baseline"/>
          <w:lang w:val="en-US" w:eastAsia="zh-CN"/>
        </w:rPr>
        <w:t>104.532890</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，28.68988</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）至终点位置</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vertAlign w:val="baseline"/>
          <w:lang w:val="en-US" w:eastAsia="zh-CN"/>
        </w:rPr>
        <w:t>104.633781</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，28.769574</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），设置5-6个点位，范围总长约15公里。</w:t>
      </w:r>
    </w:p>
    <w:p w14:paraId="6B70761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（2）资阳市索溪河：起始位置（</w:t>
      </w:r>
      <w:r>
        <w:rPr>
          <w:rFonts w:hint="eastAsia" w:ascii="仿宋" w:hAnsi="仿宋" w:eastAsia="仿宋" w:cs="仿宋"/>
          <w:sz w:val="24"/>
          <w:szCs w:val="24"/>
          <w:highlight w:val="none"/>
          <w:vertAlign w:val="baseline"/>
          <w:lang w:val="en-US" w:eastAsia="zh-CN"/>
        </w:rPr>
        <w:t>104.92027185</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，30.45060538</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）至终点位置</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vertAlign w:val="baseline"/>
          <w:lang w:val="en-US" w:eastAsia="zh-CN"/>
        </w:rPr>
        <w:t>104.87409012</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，30.38578250</w:t>
      </w: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sz w:val="24"/>
          <w:szCs w:val="24"/>
          <w:highlight w:val="none"/>
          <w:vertAlign w:val="baseline"/>
          <w:lang w:val="en-US" w:eastAsia="zh-CN"/>
        </w:rPr>
        <w:t>），设置5-6个点位，范围总长约20公里。</w:t>
      </w:r>
    </w:p>
    <w:p w14:paraId="2B741178">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bCs/>
          <w:sz w:val="24"/>
          <w:szCs w:val="24"/>
          <w:highlight w:val="none"/>
          <w:lang w:val="en-US" w:eastAsia="zh-CN"/>
        </w:rPr>
        <w:t>3、调查分析内容</w:t>
      </w:r>
    </w:p>
    <w:p w14:paraId="32D9EDC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（1）现场</w:t>
      </w:r>
      <w:r>
        <w:rPr>
          <w:rFonts w:hint="eastAsia" w:ascii="仿宋" w:hAnsi="仿宋" w:eastAsia="仿宋" w:cs="仿宋"/>
          <w:sz w:val="24"/>
          <w:szCs w:val="24"/>
          <w:highlight w:val="none"/>
        </w:rPr>
        <w:t>调查内容</w:t>
      </w:r>
    </w:p>
    <w:p w14:paraId="5450888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a)水生生境状况：调查区域</w:t>
      </w:r>
      <w:r>
        <w:rPr>
          <w:rFonts w:hint="eastAsia" w:ascii="仿宋" w:hAnsi="仿宋" w:eastAsia="仿宋" w:cs="仿宋"/>
          <w:sz w:val="24"/>
          <w:szCs w:val="24"/>
          <w:highlight w:val="none"/>
        </w:rPr>
        <w:t>河段生态结构和功能等</w:t>
      </w:r>
      <w:r>
        <w:rPr>
          <w:rFonts w:hint="eastAsia" w:ascii="仿宋" w:hAnsi="仿宋" w:eastAsia="仿宋" w:cs="仿宋"/>
          <w:sz w:val="24"/>
          <w:szCs w:val="24"/>
          <w:highlight w:val="none"/>
          <w:lang w:eastAsia="zh-CN"/>
        </w:rPr>
        <w:t>。</w:t>
      </w:r>
    </w:p>
    <w:p w14:paraId="09B3FA35">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b)鱼类</w:t>
      </w:r>
      <w:r>
        <w:rPr>
          <w:rFonts w:hint="eastAsia" w:ascii="仿宋" w:hAnsi="仿宋" w:eastAsia="仿宋" w:cs="仿宋"/>
          <w:sz w:val="24"/>
          <w:szCs w:val="24"/>
          <w:highlight w:val="none"/>
        </w:rPr>
        <w:t>资源</w:t>
      </w:r>
      <w:r>
        <w:rPr>
          <w:rFonts w:hint="eastAsia" w:ascii="仿宋" w:hAnsi="仿宋" w:eastAsia="仿宋" w:cs="仿宋"/>
          <w:sz w:val="24"/>
          <w:szCs w:val="24"/>
          <w:highlight w:val="none"/>
          <w:lang w:val="en-US" w:eastAsia="zh-CN"/>
        </w:rPr>
        <w:t>状况，主要包括：鱼类种类</w:t>
      </w:r>
      <w:r>
        <w:rPr>
          <w:rFonts w:hint="eastAsia" w:ascii="仿宋" w:hAnsi="仿宋" w:eastAsia="仿宋" w:cs="仿宋"/>
          <w:sz w:val="24"/>
          <w:szCs w:val="24"/>
          <w:highlight w:val="none"/>
        </w:rPr>
        <w:t>结构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资源量</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；珍稀、特有和濒危鱼类</w:t>
      </w:r>
      <w:r>
        <w:rPr>
          <w:rFonts w:hint="eastAsia" w:ascii="仿宋" w:hAnsi="仿宋" w:eastAsia="仿宋" w:cs="仿宋"/>
          <w:sz w:val="24"/>
          <w:szCs w:val="24"/>
          <w:highlight w:val="none"/>
          <w:lang w:val="en-US" w:eastAsia="zh-CN"/>
        </w:rPr>
        <w:t>种类结构、资源量</w:t>
      </w:r>
      <w:r>
        <w:rPr>
          <w:rFonts w:hint="eastAsia" w:ascii="仿宋" w:hAnsi="仿宋" w:eastAsia="仿宋" w:cs="仿宋"/>
          <w:sz w:val="24"/>
          <w:szCs w:val="24"/>
          <w:highlight w:val="none"/>
        </w:rPr>
        <w:t>；鱼类重要生境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包括产卵场、索饵场、越冬场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分布情况</w:t>
      </w:r>
      <w:r>
        <w:rPr>
          <w:rFonts w:hint="eastAsia" w:ascii="仿宋" w:hAnsi="仿宋" w:eastAsia="仿宋" w:cs="仿宋"/>
          <w:sz w:val="24"/>
          <w:szCs w:val="24"/>
          <w:highlight w:val="none"/>
        </w:rPr>
        <w:t>。</w:t>
      </w:r>
    </w:p>
    <w:p w14:paraId="6FD58607">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c)</w:t>
      </w:r>
      <w:r>
        <w:rPr>
          <w:rFonts w:hint="eastAsia" w:ascii="仿宋" w:hAnsi="仿宋" w:eastAsia="仿宋" w:cs="仿宋"/>
          <w:sz w:val="24"/>
          <w:szCs w:val="24"/>
          <w:highlight w:val="none"/>
        </w:rPr>
        <w:t>浮游植物、浮游动物和底栖动物种类、生物量及密度。</w:t>
      </w:r>
    </w:p>
    <w:p w14:paraId="2F95C79D">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d)水生植物种类及分布情况。</w:t>
      </w:r>
    </w:p>
    <w:p w14:paraId="36383CB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（2）资料调查内容：</w:t>
      </w:r>
    </w:p>
    <w:p w14:paraId="2E89EC7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highlight w:val="none"/>
          <w:lang w:val="en-US" w:eastAsia="zh-CN"/>
        </w:rPr>
        <w:t>“十四五”期间宜宾市金沙江、资阳市索溪河鱼类资源状况。</w:t>
      </w:r>
    </w:p>
    <w:p w14:paraId="417EA94B">
      <w:pPr>
        <w:adjustRightInd w:val="0"/>
        <w:snapToGrid w:val="0"/>
        <w:spacing w:line="312"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、供应商应结合本项目采购需求编制项目实施方案，包括①对本项目内容的理解及项目重难点分析、②质量保障措施、③实施进度计划、④人员职责及分工安排、⑤响应时间；</w:t>
      </w:r>
    </w:p>
    <w:p w14:paraId="6E084683">
      <w:pPr>
        <w:adjustRightInd w:val="0"/>
        <w:snapToGrid w:val="0"/>
        <w:spacing w:line="312"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、供应商应结合本项目采购需求编制项目服务方案，包括①后期服务保障及技术支持方案，②工期保障措施，③应急预案。</w:t>
      </w:r>
    </w:p>
    <w:p w14:paraId="1699ADA4">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（二）商务要求</w:t>
      </w:r>
    </w:p>
    <w:p w14:paraId="3CFB233A">
      <w:pPr>
        <w:snapToGrid w:val="0"/>
        <w:spacing w:line="312" w:lineRule="auto"/>
        <w:ind w:firstLine="482" w:firstLineChars="200"/>
        <w:rPr>
          <w:rFonts w:ascii="仿宋" w:hAnsi="仿宋" w:eastAsia="仿宋" w:cs="仿宋"/>
          <w:b/>
          <w:bCs/>
          <w:color w:val="auto"/>
          <w:kern w:val="44"/>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44"/>
          <w:sz w:val="24"/>
          <w:highlight w:val="none"/>
        </w:rPr>
        <w:t>1、服务时间及服务地点</w:t>
      </w:r>
    </w:p>
    <w:p w14:paraId="3A34FC46">
      <w:pPr>
        <w:snapToGrid w:val="0"/>
        <w:spacing w:line="312" w:lineRule="auto"/>
        <w:ind w:firstLine="482" w:firstLineChars="200"/>
        <w:rPr>
          <w:rFonts w:hint="eastAsia"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t>（1）服务时间：</w:t>
      </w:r>
      <w:r>
        <w:rPr>
          <w:rFonts w:hint="eastAsia" w:ascii="仿宋" w:hAnsi="仿宋" w:eastAsia="仿宋" w:cs="仿宋"/>
          <w:color w:val="auto"/>
          <w:kern w:val="44"/>
          <w:sz w:val="24"/>
          <w:highlight w:val="none"/>
        </w:rPr>
        <w:t>合同签订60天内完成。</w:t>
      </w:r>
    </w:p>
    <w:p w14:paraId="29FE0BF0">
      <w:pPr>
        <w:snapToGrid w:val="0"/>
        <w:spacing w:line="312" w:lineRule="auto"/>
        <w:ind w:firstLine="482" w:firstLineChars="200"/>
        <w:rPr>
          <w:rFonts w:hint="eastAsia" w:ascii="仿宋" w:hAnsi="仿宋" w:eastAsia="仿宋" w:cs="仿宋"/>
          <w:color w:val="auto"/>
          <w:kern w:val="44"/>
          <w:sz w:val="24"/>
          <w:highlight w:val="none"/>
        </w:rPr>
      </w:pPr>
      <w:bookmarkStart w:id="2" w:name="_Toc4272"/>
      <w:bookmarkStart w:id="3" w:name="_Toc8034"/>
      <w:bookmarkStart w:id="4" w:name="_Toc19001"/>
      <w:bookmarkStart w:id="5" w:name="_Toc8056"/>
      <w:bookmarkStart w:id="6" w:name="_Toc25498"/>
      <w:bookmarkStart w:id="7" w:name="_Toc15573"/>
      <w:bookmarkStart w:id="8" w:name="_Toc25580"/>
      <w:bookmarkStart w:id="9" w:name="_Toc16574"/>
      <w:bookmarkStart w:id="10" w:name="_Toc26434"/>
      <w:bookmarkStart w:id="11" w:name="_Toc26914"/>
      <w:r>
        <w:rPr>
          <w:rFonts w:hint="eastAsia" w:ascii="仿宋" w:hAnsi="仿宋" w:eastAsia="仿宋" w:cs="仿宋"/>
          <w:b/>
          <w:color w:val="auto"/>
          <w:sz w:val="24"/>
          <w:highlight w:val="none"/>
        </w:rPr>
        <w:t>（2）</w:t>
      </w:r>
      <w:r>
        <w:rPr>
          <w:rFonts w:hint="eastAsia" w:ascii="仿宋" w:hAnsi="仿宋" w:eastAsia="仿宋" w:cs="仿宋"/>
          <w:b/>
          <w:bCs/>
          <w:color w:val="auto"/>
          <w:kern w:val="44"/>
          <w:sz w:val="24"/>
          <w:highlight w:val="none"/>
        </w:rPr>
        <w:t>服务地点：</w:t>
      </w:r>
      <w:r>
        <w:rPr>
          <w:rFonts w:hint="eastAsia" w:ascii="仿宋" w:hAnsi="仿宋" w:eastAsia="仿宋" w:cs="仿宋"/>
          <w:color w:val="auto"/>
          <w:kern w:val="44"/>
          <w:sz w:val="24"/>
          <w:highlight w:val="none"/>
        </w:rPr>
        <w:t>成都市范围内（采购人指定地点）。</w:t>
      </w:r>
    </w:p>
    <w:p w14:paraId="76821735">
      <w:pPr>
        <w:snapToGrid w:val="0"/>
        <w:spacing w:line="312"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2、支付方式：</w:t>
      </w:r>
      <w:r>
        <w:rPr>
          <w:rFonts w:hint="eastAsia" w:ascii="仿宋" w:hAnsi="仿宋" w:eastAsia="仿宋" w:cs="仿宋"/>
          <w:color w:val="auto"/>
          <w:kern w:val="0"/>
          <w:sz w:val="24"/>
          <w:highlight w:val="none"/>
        </w:rPr>
        <w:t>分期付清。</w:t>
      </w:r>
    </w:p>
    <w:p w14:paraId="3CF272DA">
      <w:pPr>
        <w:snapToGrid w:val="0"/>
        <w:spacing w:line="312" w:lineRule="auto"/>
        <w:ind w:firstLine="482" w:firstLineChars="200"/>
        <w:rPr>
          <w:rFonts w:hint="eastAsia" w:ascii="仿宋" w:hAnsi="仿宋" w:eastAsia="仿宋" w:cs="仿宋"/>
          <w:bCs/>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kern w:val="0"/>
          <w:sz w:val="24"/>
          <w:highlight w:val="none"/>
        </w:rPr>
        <w:t>3、支付约定</w:t>
      </w:r>
      <w:r>
        <w:rPr>
          <w:rFonts w:hint="eastAsia" w:ascii="仿宋" w:hAnsi="仿宋" w:eastAsia="仿宋" w:cs="仿宋"/>
          <w:bCs/>
          <w:color w:val="auto"/>
          <w:kern w:val="0"/>
          <w:sz w:val="24"/>
          <w:highlight w:val="none"/>
        </w:rPr>
        <w:t>：合同签订后，成交人向采购人提供支付凭证资料后，15日内支付60%的合同款项；项目实施完毕并验收合格，成交人向采购人提供支付凭证资料后15日内支付剩余40%的合同款项。</w:t>
      </w:r>
    </w:p>
    <w:p w14:paraId="1E506026">
      <w:pPr>
        <w:snapToGrid w:val="0"/>
        <w:spacing w:line="312" w:lineRule="auto"/>
        <w:ind w:firstLine="482" w:firstLineChars="200"/>
        <w:rPr>
          <w:rFonts w:hint="eastAsia" w:ascii="仿宋" w:hAnsi="仿宋" w:eastAsia="仿宋" w:cs="仿宋"/>
          <w:color w:val="auto"/>
          <w:kern w:val="44"/>
          <w:sz w:val="24"/>
          <w:highlight w:val="none"/>
        </w:rPr>
      </w:pPr>
      <w:r>
        <w:rPr>
          <w:rFonts w:hint="eastAsia" w:ascii="仿宋" w:hAnsi="仿宋" w:eastAsia="仿宋" w:cs="仿宋"/>
          <w:b/>
          <w:color w:val="auto"/>
          <w:sz w:val="24"/>
          <w:highlight w:val="none"/>
        </w:rPr>
        <w:t>★4</w:t>
      </w:r>
      <w:r>
        <w:rPr>
          <w:rFonts w:hint="eastAsia" w:ascii="仿宋" w:hAnsi="仿宋" w:eastAsia="仿宋" w:cs="仿宋"/>
          <w:b/>
          <w:bCs/>
          <w:color w:val="auto"/>
          <w:kern w:val="44"/>
          <w:sz w:val="24"/>
          <w:highlight w:val="none"/>
        </w:rPr>
        <w:t>、合同价款：</w:t>
      </w:r>
      <w:r>
        <w:rPr>
          <w:rFonts w:hint="eastAsia" w:ascii="仿宋" w:hAnsi="仿宋" w:eastAsia="仿宋" w:cs="仿宋"/>
          <w:color w:val="auto"/>
          <w:kern w:val="44"/>
          <w:sz w:val="24"/>
          <w:highlight w:val="none"/>
        </w:rPr>
        <w:t>报价应是完成本项目所有采购内容和磋商文件规定的全部费用。</w:t>
      </w:r>
      <w:bookmarkStart w:id="12" w:name="_Toc28829"/>
      <w:bookmarkStart w:id="13" w:name="_Toc32743"/>
    </w:p>
    <w:p w14:paraId="3358B02F">
      <w:pPr>
        <w:snapToGrid w:val="0"/>
        <w:spacing w:line="312"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5、</w:t>
      </w:r>
      <w:bookmarkEnd w:id="12"/>
      <w:bookmarkEnd w:id="13"/>
      <w:bookmarkStart w:id="14" w:name="_Toc13673"/>
      <w:bookmarkStart w:id="15" w:name="_Toc821"/>
      <w:r>
        <w:rPr>
          <w:rFonts w:hint="eastAsia" w:ascii="仿宋" w:hAnsi="仿宋" w:eastAsia="仿宋" w:cs="仿宋"/>
          <w:b/>
          <w:bCs/>
          <w:color w:val="auto"/>
          <w:kern w:val="0"/>
          <w:sz w:val="24"/>
          <w:highlight w:val="none"/>
        </w:rPr>
        <w:t>验收标准和方法：</w:t>
      </w:r>
    </w:p>
    <w:p w14:paraId="358BB4D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1）验收组织方式：采购人自行验收 </w:t>
      </w:r>
    </w:p>
    <w:p w14:paraId="31194078">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2）是否邀请本项目的其他供应商：</w:t>
      </w:r>
      <w:r>
        <w:rPr>
          <w:rFonts w:hint="eastAsia" w:ascii="仿宋" w:hAnsi="仿宋" w:eastAsia="仿宋" w:cs="仿宋"/>
          <w:color w:val="auto"/>
          <w:sz w:val="24"/>
          <w:highlight w:val="none"/>
        </w:rPr>
        <w:t>□是  ☑否</w:t>
      </w:r>
    </w:p>
    <w:p w14:paraId="5B61640F">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3）是否邀请专家：</w:t>
      </w:r>
      <w:r>
        <w:rPr>
          <w:rFonts w:hint="eastAsia" w:ascii="仿宋" w:hAnsi="仿宋" w:eastAsia="仿宋" w:cs="仿宋"/>
          <w:color w:val="auto"/>
          <w:sz w:val="24"/>
          <w:highlight w:val="none"/>
        </w:rPr>
        <w:t>□是  ☑否</w:t>
      </w:r>
    </w:p>
    <w:p w14:paraId="5B113578">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4）是否邀请服务对象：</w:t>
      </w:r>
      <w:r>
        <w:rPr>
          <w:rFonts w:hint="eastAsia" w:ascii="仿宋" w:hAnsi="仿宋" w:eastAsia="仿宋" w:cs="仿宋"/>
          <w:color w:val="auto"/>
          <w:sz w:val="24"/>
          <w:highlight w:val="none"/>
        </w:rPr>
        <w:t>□是  ☑否</w:t>
      </w:r>
    </w:p>
    <w:p w14:paraId="28E8087B">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5）是否邀请第三方检测机构：</w:t>
      </w:r>
      <w:r>
        <w:rPr>
          <w:rFonts w:hint="eastAsia" w:ascii="仿宋" w:hAnsi="仿宋" w:eastAsia="仿宋" w:cs="仿宋"/>
          <w:color w:val="auto"/>
          <w:sz w:val="24"/>
          <w:highlight w:val="none"/>
        </w:rPr>
        <w:t>□是  ☑否</w:t>
      </w:r>
    </w:p>
    <w:p w14:paraId="1812E4F5">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6）履约验收程序：一次性验收</w:t>
      </w:r>
    </w:p>
    <w:p w14:paraId="5FC1770D">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7）履约验收时间：成交人提出验收申请之日起15日内组织验收 </w:t>
      </w:r>
    </w:p>
    <w:p w14:paraId="170C3CF7">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8）验收组织的其他事项：无 </w:t>
      </w:r>
    </w:p>
    <w:p w14:paraId="0DECFB2E">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9）技术履约验收内容：按照本项目采购文件中“技术、服务要求”及成交人响应文件进行验收。 </w:t>
      </w:r>
    </w:p>
    <w:p w14:paraId="0D2A42DA">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10）商务履约验收内容：按照本项目采购文件中“商务要求”及成交人响应文件进行验收。 </w:t>
      </w:r>
    </w:p>
    <w:p w14:paraId="07E311D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11）履约验收标准：参照《财政部关于进一步加强政府采购需求和履约验收管理的指导意见》（财库〔2016〕205号）、《政府采购需求管理办法》（财库〔2021〕22号）的要求进行验收。</w:t>
      </w:r>
    </w:p>
    <w:p w14:paraId="6BE76B12">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12）履约验收其他事项：无。</w:t>
      </w:r>
    </w:p>
    <w:bookmarkEnd w:id="14"/>
    <w:bookmarkEnd w:id="15"/>
    <w:p w14:paraId="5C2E7E3F">
      <w:pPr>
        <w:snapToGrid w:val="0"/>
        <w:spacing w:line="312"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6、包装方式和运输</w:t>
      </w:r>
      <w:bookmarkEnd w:id="2"/>
      <w:bookmarkEnd w:id="3"/>
      <w:bookmarkEnd w:id="4"/>
    </w:p>
    <w:p w14:paraId="336DF32B">
      <w:pPr>
        <w:snapToGrid w:val="0"/>
        <w:spacing w:line="312" w:lineRule="auto"/>
        <w:ind w:firstLine="482" w:firstLineChars="200"/>
        <w:rPr>
          <w:rFonts w:hint="eastAsia" w:ascii="仿宋" w:hAnsi="仿宋" w:eastAsia="仿宋" w:cs="仿宋"/>
          <w:color w:val="auto"/>
          <w:kern w:val="0"/>
          <w:sz w:val="24"/>
          <w:highlight w:val="none"/>
        </w:rPr>
      </w:pPr>
      <w:bookmarkStart w:id="16" w:name="_Toc23217"/>
      <w:bookmarkStart w:id="17" w:name="_Toc9737"/>
      <w:bookmarkStart w:id="18" w:name="_Toc17036"/>
      <w:bookmarkStart w:id="19" w:name="_Toc31968"/>
      <w:r>
        <w:rPr>
          <w:rFonts w:hint="eastAsia" w:ascii="仿宋" w:hAnsi="仿宋" w:eastAsia="仿宋" w:cs="仿宋"/>
          <w:b/>
          <w:color w:val="auto"/>
          <w:sz w:val="24"/>
          <w:highlight w:val="none"/>
        </w:rPr>
        <w:t>★</w:t>
      </w:r>
      <w:r>
        <w:rPr>
          <w:rFonts w:hint="eastAsia" w:ascii="仿宋" w:hAnsi="仿宋" w:eastAsia="仿宋" w:cs="仿宋"/>
          <w:color w:val="auto"/>
          <w:kern w:val="0"/>
          <w:sz w:val="24"/>
          <w:highlight w:val="none"/>
        </w:rPr>
        <w:t>（1）成交人</w:t>
      </w:r>
      <w:bookmarkEnd w:id="16"/>
      <w:bookmarkEnd w:id="17"/>
      <w:bookmarkEnd w:id="18"/>
      <w:bookmarkEnd w:id="19"/>
      <w:r>
        <w:rPr>
          <w:rFonts w:hint="eastAsia" w:ascii="仿宋" w:hAnsi="仿宋" w:eastAsia="仿宋" w:cs="仿宋"/>
          <w:color w:val="auto"/>
          <w:kern w:val="0"/>
          <w:sz w:val="24"/>
          <w:highlight w:val="none"/>
        </w:rPr>
        <w:t>应符合《商品包装政府采购需求标准（试行）》、《快递包装政府采购需求标准（试行）》（财办库〔2020〕123号）的要求进行产品及相关快递服务的包装。</w:t>
      </w:r>
    </w:p>
    <w:p w14:paraId="0D992922">
      <w:pPr>
        <w:snapToGrid w:val="0"/>
        <w:spacing w:line="312" w:lineRule="auto"/>
        <w:ind w:firstLine="482" w:firstLineChars="200"/>
        <w:rPr>
          <w:rFonts w:hint="eastAsia" w:ascii="仿宋" w:hAnsi="仿宋" w:eastAsia="仿宋" w:cs="仿宋"/>
          <w:b/>
          <w:color w:val="auto"/>
          <w:sz w:val="24"/>
          <w:highlight w:val="none"/>
        </w:rPr>
      </w:pPr>
      <w:bookmarkStart w:id="20" w:name="_Toc30165"/>
      <w:bookmarkStart w:id="21" w:name="_Toc1436"/>
      <w:bookmarkStart w:id="22" w:name="_Toc29648"/>
      <w:r>
        <w:rPr>
          <w:rFonts w:hint="eastAsia" w:ascii="仿宋" w:hAnsi="仿宋" w:eastAsia="仿宋" w:cs="仿宋"/>
          <w:b/>
          <w:color w:val="auto"/>
          <w:sz w:val="24"/>
          <w:highlight w:val="none"/>
        </w:rPr>
        <w:t>7、保险</w:t>
      </w:r>
      <w:bookmarkEnd w:id="5"/>
      <w:bookmarkEnd w:id="6"/>
      <w:bookmarkEnd w:id="7"/>
      <w:bookmarkEnd w:id="8"/>
      <w:bookmarkEnd w:id="9"/>
      <w:bookmarkEnd w:id="10"/>
      <w:bookmarkEnd w:id="11"/>
      <w:bookmarkEnd w:id="20"/>
      <w:bookmarkEnd w:id="21"/>
      <w:bookmarkEnd w:id="22"/>
    </w:p>
    <w:p w14:paraId="5582B41E">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44E621E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为本项目提供履约的所有人员应依照《中华人民共和国劳动合同法》订立劳动合同，如有退休人员或其他依法不能签订劳动合同的人员应签订劳务合同，并为上述人员购买意外保险，涉及第三者责任的还应当为其购买第三者责任险。</w:t>
      </w:r>
    </w:p>
    <w:p w14:paraId="088005E1">
      <w:pPr>
        <w:pStyle w:val="5"/>
        <w:snapToGrid w:val="0"/>
        <w:spacing w:line="312" w:lineRule="auto"/>
        <w:ind w:firstLine="482" w:firstLineChars="200"/>
        <w:rPr>
          <w:rFonts w:hint="eastAsia" w:ascii="仿宋" w:hAnsi="仿宋" w:eastAsia="仿宋" w:cs="仿宋"/>
          <w:color w:val="auto"/>
          <w:sz w:val="24"/>
          <w:szCs w:val="24"/>
          <w:highlight w:val="none"/>
        </w:rPr>
      </w:pPr>
      <w:bookmarkStart w:id="23" w:name="_Toc32286_WPSOffice_Level2"/>
      <w:bookmarkStart w:id="24" w:name="_Toc13746"/>
      <w:bookmarkStart w:id="25" w:name="_Toc27313"/>
      <w:bookmarkStart w:id="26" w:name="_Toc2218"/>
      <w:bookmarkStart w:id="27" w:name="_Toc14685"/>
      <w:bookmarkStart w:id="28" w:name="_Toc11570"/>
      <w:bookmarkStart w:id="29" w:name="_Toc13362"/>
      <w:bookmarkStart w:id="30" w:name="_Toc8092"/>
      <w:bookmarkStart w:id="31" w:name="_Toc20781"/>
      <w:bookmarkStart w:id="32" w:name="_Toc22026"/>
      <w:bookmarkStart w:id="33" w:name="_Toc14109"/>
      <w:bookmarkStart w:id="34" w:name="_Toc32726"/>
      <w:bookmarkStart w:id="35" w:name="_Toc12073"/>
      <w:r>
        <w:rPr>
          <w:rFonts w:hint="eastAsia" w:ascii="仿宋" w:hAnsi="仿宋" w:eastAsia="仿宋" w:cs="仿宋"/>
          <w:b/>
          <w:color w:val="auto"/>
          <w:sz w:val="24"/>
          <w:highlight w:val="none"/>
        </w:rPr>
        <w:t>★8、知识产权归属和处理方式：</w:t>
      </w:r>
      <w:r>
        <w:rPr>
          <w:rFonts w:hint="eastAsia" w:ascii="仿宋" w:hAnsi="仿宋" w:eastAsia="仿宋" w:cs="仿宋"/>
          <w:color w:val="auto"/>
          <w:sz w:val="24"/>
          <w:szCs w:val="24"/>
          <w:highlight w:val="none"/>
        </w:rPr>
        <w:t>采购人享有本项目实施过程中产生的知识成果及知识产权。</w:t>
      </w:r>
    </w:p>
    <w:p w14:paraId="41480947">
      <w:pPr>
        <w:snapToGrid w:val="0"/>
        <w:spacing w:line="312" w:lineRule="auto"/>
        <w:ind w:left="479" w:leftChars="228"/>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9、违约责任与解决争议的办法</w:t>
      </w:r>
    </w:p>
    <w:p w14:paraId="00497BE1">
      <w:pPr>
        <w:snapToGrid w:val="0"/>
        <w:spacing w:line="312" w:lineRule="auto"/>
        <w:ind w:left="479" w:leftChars="228"/>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（1）违约责任</w:t>
      </w:r>
    </w:p>
    <w:p w14:paraId="038FAD62">
      <w:pPr>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1）双方必须遵守采购合同并执行采购合同中的各项规定，保证采购合同的正常履行。</w:t>
      </w:r>
    </w:p>
    <w:p w14:paraId="3C559FD7">
      <w:pPr>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10C82B4F">
      <w:pPr>
        <w:pStyle w:val="8"/>
        <w:snapToGrid w:val="0"/>
        <w:spacing w:line="312" w:lineRule="auto"/>
        <w:ind w:firstLine="48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w:t>
      </w:r>
      <w:r>
        <w:rPr>
          <w:rFonts w:hint="eastAsia" w:ascii="仿宋" w:hAnsi="仿宋" w:eastAsia="仿宋" w:cs="仿宋"/>
          <w:b/>
          <w:color w:val="auto"/>
          <w:highlight w:val="none"/>
        </w:rPr>
        <w:t>解决争议的办法</w:t>
      </w:r>
    </w:p>
    <w:p w14:paraId="783E07C6">
      <w:pPr>
        <w:pStyle w:val="8"/>
        <w:snapToGrid w:val="0"/>
        <w:spacing w:line="312"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合同履行期间,若双方发生争议，可协商或由有关部门调解解决，协商或调解不成的，由当事人依法向采购人所在地有管辖权的法院提起诉讼维护其合法权益。</w:t>
      </w:r>
    </w:p>
    <w:p w14:paraId="22EC43B8">
      <w:pPr>
        <w:snapToGrid w:val="0"/>
        <w:spacing w:line="312"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10、其他要求</w:t>
      </w:r>
      <w:bookmarkEnd w:id="23"/>
      <w:bookmarkEnd w:id="24"/>
      <w:bookmarkEnd w:id="25"/>
      <w:bookmarkEnd w:id="26"/>
      <w:bookmarkEnd w:id="27"/>
      <w:bookmarkEnd w:id="28"/>
      <w:bookmarkEnd w:id="29"/>
      <w:bookmarkEnd w:id="30"/>
      <w:bookmarkEnd w:id="31"/>
      <w:bookmarkEnd w:id="32"/>
      <w:bookmarkEnd w:id="33"/>
      <w:bookmarkEnd w:id="34"/>
      <w:bookmarkEnd w:id="35"/>
    </w:p>
    <w:p w14:paraId="11A1CD89">
      <w:pPr>
        <w:pStyle w:val="9"/>
        <w:tabs>
          <w:tab w:val="left" w:pos="0"/>
          <w:tab w:val="left" w:pos="1134"/>
        </w:tabs>
        <w:snapToGrid w:val="0"/>
        <w:spacing w:line="312"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（1）供应商应建立良好的项目实施质量管理、职业健康安全管理以及环境管理体系，保障项目实施质量以及相关人员健康安全和实施环境安全。</w:t>
      </w:r>
    </w:p>
    <w:p w14:paraId="580D5F40">
      <w:pPr>
        <w:pStyle w:val="10"/>
        <w:widowControl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供应商应为本项目配备项目实施相关人员，</w:t>
      </w:r>
      <w:r>
        <w:rPr>
          <w:rFonts w:hint="eastAsia" w:ascii="仿宋" w:hAnsi="仿宋" w:eastAsia="仿宋" w:cs="仿宋"/>
          <w:color w:val="auto"/>
          <w:sz w:val="24"/>
          <w:szCs w:val="24"/>
          <w:highlight w:val="none"/>
        </w:rPr>
        <w:t>采购人在项目执行过程中定期核对供应商提供完成项目所配备的人员数量及相关信息，对于未按照磋商文件及响应文件相关内容执行或存在不合理的部分有权下达整改通知书，并要求供应商限期整改，并根据合同约定的违约情况进行处理。</w:t>
      </w:r>
    </w:p>
    <w:p w14:paraId="35AB822E">
      <w:pPr>
        <w:pStyle w:val="10"/>
        <w:widowControl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（3）供应商在项目执行过程中定期及时向采购人通告本项目的重大事项及其进度。</w:t>
      </w:r>
    </w:p>
    <w:p w14:paraId="3B9E1FB6">
      <w:pPr>
        <w:pStyle w:val="4"/>
        <w:snapToGrid w:val="0"/>
        <w:spacing w:after="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（4）接受项目行业管理部门及政府有关部门的指导，接受采购人的监督。</w:t>
      </w:r>
    </w:p>
    <w:bookmarkEnd w:id="1"/>
    <w:p w14:paraId="0C4635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03FB3"/>
    <w:rsid w:val="1BA0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szCs w:val="24"/>
    </w:r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Body Text Indent"/>
    <w:basedOn w:val="1"/>
    <w:qFormat/>
    <w:uiPriority w:val="0"/>
    <w:pPr>
      <w:ind w:firstLine="630"/>
    </w:pPr>
    <w:rPr>
      <w:rFonts w:eastAsia="宋体"/>
      <w:sz w:val="32"/>
    </w:rPr>
  </w:style>
  <w:style w:type="paragraph" w:customStyle="1" w:styleId="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0">
    <w:name w:val="正文（绿盟科技）"/>
    <w:next w:val="1"/>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2025-12-04T03:23:00Z</dcterms:created>
  <dc:creator>admin</dc:creator>
  <cp:lastModifiedBy>admin</cp:lastModifiedBy>
  <dcterms:modified xsi:type="dcterms:W3CDTF">2025-12-04T03:23:33Z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49C9387658DA4511A394C478AB7867B3_11</vt:lpwstr>
  </property>
  <property fmtid="{D5CDD505-2E9C-101B-9397-08002B2CF9AE}" pid="4" name="KSOTemplateDocerSaveRecord">
    <vt:lpwstr>eyJoZGlkIjoiMjNiNGJiYWRkMGJmMTdjZTEzY2Y3OTgwMDZjMGI0MTEiLCJ1c2VySWQiOiIzOTA3OTIwODQifQ==</vt:lpwstr>
  </property>
</Properties>
</file>