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5F8E2">
      <w:pPr>
        <w:pStyle w:val="2"/>
        <w:pageBreakBefore/>
        <w:snapToGrid w:val="0"/>
        <w:spacing w:before="0" w:after="0" w:line="312" w:lineRule="auto"/>
        <w:jc w:val="center"/>
        <w:rPr>
          <w:rFonts w:hint="eastAsia" w:ascii="仿宋" w:hAnsi="仿宋" w:eastAsia="仿宋" w:cs="仿宋"/>
          <w:color w:val="auto"/>
          <w:sz w:val="28"/>
          <w:szCs w:val="28"/>
          <w:highlight w:val="none"/>
        </w:rPr>
      </w:pPr>
      <w:bookmarkStart w:id="0" w:name="_Toc24352"/>
      <w:r>
        <w:rPr>
          <w:rFonts w:hint="eastAsia" w:ascii="仿宋" w:hAnsi="仿宋" w:eastAsia="仿宋" w:cs="仿宋"/>
          <w:color w:val="auto"/>
          <w:sz w:val="36"/>
          <w:szCs w:val="36"/>
          <w:highlight w:val="none"/>
        </w:rPr>
        <w:t xml:space="preserve">  采购项目技术、服务、商务及其他要求</w:t>
      </w:r>
      <w:bookmarkEnd w:id="0"/>
      <w:bookmarkStart w:id="1" w:name="_Hlk45530010"/>
    </w:p>
    <w:p w14:paraId="63029740">
      <w:pPr>
        <w:snapToGrid w:val="0"/>
        <w:spacing w:line="312" w:lineRule="auto"/>
        <w:ind w:firstLine="241" w:firstLineChars="100"/>
        <w:outlineLvl w:val="1"/>
        <w:rPr>
          <w:rFonts w:hint="eastAsia" w:ascii="仿宋" w:hAnsi="仿宋" w:eastAsia="仿宋" w:cs="仿宋"/>
          <w:b/>
          <w:color w:val="auto"/>
          <w:sz w:val="24"/>
          <w:highlight w:val="none"/>
        </w:rPr>
      </w:pPr>
      <w:r>
        <w:rPr>
          <w:rFonts w:hint="eastAsia" w:ascii="仿宋" w:hAnsi="仿宋" w:eastAsia="仿宋" w:cs="仿宋"/>
          <w:b/>
          <w:bCs/>
          <w:color w:val="auto"/>
          <w:kern w:val="44"/>
          <w:sz w:val="24"/>
          <w:highlight w:val="none"/>
        </w:rPr>
        <w:t>注：本章中</w:t>
      </w:r>
      <w:r>
        <w:rPr>
          <w:rFonts w:hint="eastAsia" w:ascii="仿宋" w:hAnsi="仿宋" w:eastAsia="仿宋" w:cs="仿宋"/>
          <w:b/>
          <w:color w:val="auto"/>
          <w:sz w:val="24"/>
          <w:highlight w:val="none"/>
        </w:rPr>
        <w:t>带“★”项内容为本项目实质性要求，未响应或不满足，按无效响应处理。</w:t>
      </w:r>
      <w:r>
        <w:rPr>
          <w:rFonts w:hint="eastAsia" w:ascii="仿宋" w:hAnsi="仿宋" w:eastAsia="仿宋" w:cs="仿宋"/>
          <w:b/>
          <w:color w:val="auto"/>
          <w:sz w:val="28"/>
          <w:szCs w:val="28"/>
          <w:highlight w:val="none"/>
        </w:rPr>
        <w:br w:type="textWrapping"/>
      </w:r>
      <w:r>
        <w:rPr>
          <w:rFonts w:hint="eastAsia" w:ascii="仿宋" w:hAnsi="仿宋" w:eastAsia="仿宋" w:cs="仿宋"/>
          <w:b/>
          <w:bCs/>
          <w:color w:val="auto"/>
          <w:kern w:val="44"/>
          <w:sz w:val="28"/>
          <w:szCs w:val="28"/>
          <w:highlight w:val="none"/>
        </w:rPr>
        <w:t>一、项目概况</w:t>
      </w:r>
    </w:p>
    <w:p w14:paraId="083DDFC2">
      <w:pPr>
        <w:snapToGrid w:val="0"/>
        <w:spacing w:line="312" w:lineRule="auto"/>
        <w:ind w:firstLine="281" w:firstLineChars="100"/>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（一）项目概述</w:t>
      </w:r>
    </w:p>
    <w:p w14:paraId="5DA1E06F">
      <w:pPr>
        <w:snapToGrid w:val="0"/>
        <w:spacing w:line="312" w:lineRule="auto"/>
        <w:ind w:firstLine="480" w:firstLineChars="200"/>
        <w:rPr>
          <w:rFonts w:hint="eastAsia" w:ascii="仿宋" w:hAnsi="仿宋" w:eastAsia="仿宋" w:cs="仿宋"/>
          <w:b/>
          <w:bCs/>
          <w:color w:val="auto"/>
          <w:kern w:val="44"/>
          <w:sz w:val="28"/>
          <w:szCs w:val="28"/>
          <w:highlight w:val="none"/>
        </w:rPr>
      </w:pPr>
      <w:bookmarkStart w:id="36" w:name="_GoBack"/>
      <w:r>
        <w:rPr>
          <w:rFonts w:hint="eastAsia" w:ascii="仿宋" w:hAnsi="仿宋" w:eastAsia="仿宋" w:cs="仿宋"/>
          <w:color w:val="auto"/>
          <w:kern w:val="44"/>
          <w:sz w:val="24"/>
          <w:highlight w:val="none"/>
          <w:lang w:eastAsia="zh-CN"/>
        </w:rPr>
        <w:t>遂宁市某入河排污口水质监测项目</w:t>
      </w:r>
      <w:bookmarkEnd w:id="36"/>
      <w:r>
        <w:rPr>
          <w:rFonts w:hint="eastAsia" w:ascii="仿宋" w:hAnsi="仿宋" w:eastAsia="仿宋" w:cs="仿宋"/>
          <w:color w:val="auto"/>
          <w:kern w:val="44"/>
          <w:sz w:val="24"/>
          <w:highlight w:val="none"/>
        </w:rPr>
        <w:t>，本次采购共分1个包。</w:t>
      </w:r>
    </w:p>
    <w:p w14:paraId="1F1679D7">
      <w:pPr>
        <w:snapToGrid w:val="0"/>
        <w:spacing w:line="312" w:lineRule="auto"/>
        <w:ind w:firstLine="281" w:firstLineChars="100"/>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（二）标的名称及所属行业</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4974"/>
        <w:gridCol w:w="2779"/>
      </w:tblGrid>
      <w:tr w14:paraId="48FA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86" w:type="dxa"/>
            <w:noWrap w:val="0"/>
            <w:vAlign w:val="center"/>
          </w:tcPr>
          <w:p w14:paraId="32A84701">
            <w:pPr>
              <w:pStyle w:val="3"/>
              <w:snapToGrid w:val="0"/>
              <w:spacing w:line="312" w:lineRule="auto"/>
              <w:ind w:firstLine="0" w:firstLine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5215" w:type="dxa"/>
            <w:noWrap w:val="0"/>
            <w:vAlign w:val="center"/>
          </w:tcPr>
          <w:p w14:paraId="4CD58ABE">
            <w:pPr>
              <w:pStyle w:val="3"/>
              <w:snapToGrid w:val="0"/>
              <w:spacing w:line="312" w:lineRule="auto"/>
              <w:ind w:firstLine="0" w:firstLine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标的名称</w:t>
            </w:r>
          </w:p>
        </w:tc>
        <w:tc>
          <w:tcPr>
            <w:tcW w:w="2903" w:type="dxa"/>
            <w:noWrap w:val="0"/>
            <w:vAlign w:val="center"/>
          </w:tcPr>
          <w:p w14:paraId="739196A4">
            <w:pPr>
              <w:pStyle w:val="3"/>
              <w:snapToGrid w:val="0"/>
              <w:spacing w:line="312" w:lineRule="auto"/>
              <w:ind w:firstLine="0" w:firstLineChars="0"/>
              <w:jc w:val="center"/>
              <w:rPr>
                <w:rFonts w:hint="eastAsia" w:ascii="仿宋" w:hAnsi="仿宋" w:eastAsia="仿宋" w:cs="仿宋"/>
                <w:color w:val="auto"/>
                <w:kern w:val="44"/>
                <w:sz w:val="24"/>
                <w:highlight w:val="none"/>
              </w:rPr>
            </w:pPr>
            <w:r>
              <w:rPr>
                <w:rFonts w:hint="eastAsia" w:ascii="仿宋" w:hAnsi="仿宋" w:eastAsia="仿宋" w:cs="仿宋"/>
                <w:b/>
                <w:color w:val="auto"/>
                <w:sz w:val="24"/>
                <w:highlight w:val="none"/>
              </w:rPr>
              <w:t>所属行业</w:t>
            </w:r>
          </w:p>
        </w:tc>
      </w:tr>
      <w:tr w14:paraId="0A4F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86" w:type="dxa"/>
            <w:noWrap w:val="0"/>
            <w:vAlign w:val="center"/>
          </w:tcPr>
          <w:p w14:paraId="2DCC042B">
            <w:pPr>
              <w:pStyle w:val="3"/>
              <w:snapToGrid w:val="0"/>
              <w:spacing w:line="312" w:lineRule="auto"/>
              <w:ind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5215" w:type="dxa"/>
            <w:noWrap w:val="0"/>
            <w:vAlign w:val="center"/>
          </w:tcPr>
          <w:p w14:paraId="2933C17E">
            <w:pPr>
              <w:pStyle w:val="3"/>
              <w:snapToGrid w:val="0"/>
              <w:spacing w:line="312" w:lineRule="auto"/>
              <w:ind w:firstLine="0" w:firstLineChars="0"/>
              <w:jc w:val="center"/>
              <w:rPr>
                <w:rFonts w:ascii="仿宋" w:hAnsi="仿宋" w:eastAsia="仿宋" w:cs="仿宋"/>
                <w:bCs/>
                <w:color w:val="auto"/>
                <w:sz w:val="24"/>
                <w:highlight w:val="none"/>
              </w:rPr>
            </w:pPr>
            <w:r>
              <w:rPr>
                <w:rFonts w:hint="eastAsia" w:ascii="仿宋" w:hAnsi="仿宋" w:eastAsia="仿宋" w:cs="仿宋"/>
                <w:bCs/>
                <w:color w:val="auto"/>
                <w:sz w:val="24"/>
                <w:highlight w:val="none"/>
                <w:lang w:eastAsia="zh-CN"/>
              </w:rPr>
              <w:t>遂宁市</w:t>
            </w:r>
            <w:r>
              <w:rPr>
                <w:rFonts w:hint="eastAsia" w:ascii="仿宋" w:hAnsi="仿宋" w:eastAsia="仿宋" w:cs="仿宋"/>
                <w:bCs/>
                <w:color w:val="auto"/>
                <w:sz w:val="24"/>
                <w:highlight w:val="none"/>
                <w:lang w:val="en-US" w:eastAsia="zh-CN"/>
              </w:rPr>
              <w:t>某</w:t>
            </w:r>
            <w:r>
              <w:rPr>
                <w:rFonts w:hint="eastAsia" w:ascii="仿宋" w:hAnsi="仿宋" w:eastAsia="仿宋" w:cs="仿宋"/>
                <w:bCs/>
                <w:color w:val="auto"/>
                <w:sz w:val="24"/>
                <w:highlight w:val="none"/>
                <w:lang w:eastAsia="zh-CN"/>
              </w:rPr>
              <w:t>入河排污口水质监测</w:t>
            </w:r>
          </w:p>
        </w:tc>
        <w:tc>
          <w:tcPr>
            <w:tcW w:w="2903" w:type="dxa"/>
            <w:noWrap w:val="0"/>
            <w:vAlign w:val="center"/>
          </w:tcPr>
          <w:p w14:paraId="74C2FA47">
            <w:pPr>
              <w:pStyle w:val="3"/>
              <w:snapToGrid w:val="0"/>
              <w:spacing w:line="312" w:lineRule="auto"/>
              <w:ind w:firstLine="0" w:firstLineChars="0"/>
              <w:jc w:val="center"/>
              <w:rPr>
                <w:rFonts w:ascii="仿宋" w:hAnsi="仿宋" w:eastAsia="仿宋" w:cs="仿宋"/>
                <w:color w:val="auto"/>
                <w:kern w:val="44"/>
                <w:sz w:val="24"/>
                <w:highlight w:val="none"/>
              </w:rPr>
            </w:pPr>
            <w:r>
              <w:rPr>
                <w:rFonts w:ascii="仿宋" w:hAnsi="仿宋" w:eastAsia="仿宋" w:cs="仿宋"/>
                <w:color w:val="auto"/>
                <w:kern w:val="44"/>
                <w:sz w:val="24"/>
                <w:highlight w:val="none"/>
              </w:rPr>
              <w:t>其他未列明行业</w:t>
            </w:r>
          </w:p>
        </w:tc>
      </w:tr>
    </w:tbl>
    <w:p w14:paraId="7E50909C">
      <w:pPr>
        <w:snapToGrid w:val="0"/>
        <w:spacing w:line="312" w:lineRule="auto"/>
        <w:ind w:firstLine="480" w:firstLineChars="200"/>
        <w:rPr>
          <w:rFonts w:hint="eastAsia" w:ascii="仿宋" w:hAnsi="仿宋" w:eastAsia="仿宋" w:cs="仿宋"/>
          <w:color w:val="auto"/>
          <w:kern w:val="44"/>
          <w:sz w:val="24"/>
          <w:highlight w:val="none"/>
        </w:rPr>
      </w:pPr>
      <w:r>
        <w:rPr>
          <w:rFonts w:hint="eastAsia" w:ascii="仿宋" w:hAnsi="仿宋" w:eastAsia="仿宋" w:cs="仿宋"/>
          <w:color w:val="auto"/>
          <w:kern w:val="44"/>
          <w:sz w:val="24"/>
          <w:highlight w:val="none"/>
        </w:rPr>
        <w:t>注：1、上表中“所属行业”系指“《工业和信息化部、国家统计局、国家发展和改革委员会、财政部关于印发中小企业划型标准规定的通知》（工信部联企业〔2011〕300号文件）、《统计上大中小微型企业划分办法（2017）》附表：统计上大中小微型企业划分标准”规定的中小企业划型标准所属行业。</w:t>
      </w:r>
    </w:p>
    <w:p w14:paraId="324BD712">
      <w:pPr>
        <w:snapToGrid w:val="0"/>
        <w:spacing w:line="312" w:lineRule="auto"/>
        <w:ind w:firstLine="482" w:firstLineChars="200"/>
        <w:rPr>
          <w:rFonts w:ascii="仿宋" w:hAnsi="仿宋" w:eastAsia="仿宋" w:cs="仿宋"/>
          <w:b/>
          <w:bCs/>
          <w:color w:val="auto"/>
          <w:kern w:val="0"/>
          <w:sz w:val="24"/>
          <w:szCs w:val="24"/>
          <w:highlight w:val="none"/>
        </w:rPr>
      </w:pPr>
      <w:r>
        <w:rPr>
          <w:rFonts w:hint="eastAsia" w:ascii="仿宋" w:hAnsi="仿宋" w:eastAsia="仿宋" w:cs="仿宋"/>
          <w:b/>
          <w:bCs/>
          <w:color w:val="auto"/>
          <w:kern w:val="44"/>
          <w:sz w:val="24"/>
          <w:highlight w:val="none"/>
        </w:rPr>
        <w:t>2、供应商应按照上表所列标的名称、所属行业填写《中小企业声明函》</w:t>
      </w:r>
      <w:r>
        <w:rPr>
          <w:rFonts w:hint="eastAsia" w:ascii="仿宋" w:hAnsi="仿宋" w:eastAsia="仿宋" w:cs="仿宋"/>
          <w:b/>
          <w:bCs/>
          <w:color w:val="auto"/>
          <w:kern w:val="0"/>
          <w:sz w:val="24"/>
          <w:szCs w:val="24"/>
          <w:highlight w:val="none"/>
        </w:rPr>
        <w:t>。</w:t>
      </w:r>
    </w:p>
    <w:p w14:paraId="65F55681">
      <w:pPr>
        <w:pStyle w:val="4"/>
        <w:rPr>
          <w:rFonts w:hint="eastAsia"/>
          <w:color w:val="auto"/>
          <w:highlight w:val="none"/>
        </w:rPr>
      </w:pPr>
    </w:p>
    <w:p w14:paraId="02E68BC3">
      <w:pPr>
        <w:snapToGrid w:val="0"/>
        <w:spacing w:line="312" w:lineRule="auto"/>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二、技术、服务要求</w:t>
      </w:r>
    </w:p>
    <w:p w14:paraId="7F272B55">
      <w:pPr>
        <w:snapToGrid w:val="0"/>
        <w:spacing w:line="312" w:lineRule="auto"/>
        <w:ind w:firstLine="562" w:firstLineChars="200"/>
        <w:outlineLvl w:val="1"/>
        <w:rPr>
          <w:rFonts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（一）服务内容及要求</w:t>
      </w:r>
    </w:p>
    <w:p w14:paraId="5A4BFFA0">
      <w:pPr>
        <w:keepNext w:val="0"/>
        <w:keepLines w:val="0"/>
        <w:pageBreakBefore w:val="0"/>
        <w:widowControl w:val="0"/>
        <w:tabs>
          <w:tab w:val="left" w:pos="7513"/>
        </w:tabs>
        <w:kinsoku/>
        <w:wordWrap/>
        <w:overflowPunct/>
        <w:topLinePunct w:val="0"/>
        <w:autoSpaceDE/>
        <w:autoSpaceDN/>
        <w:bidi w:val="0"/>
        <w:adjustRightInd w:val="0"/>
        <w:snapToGrid w:val="0"/>
        <w:spacing w:line="312" w:lineRule="auto"/>
        <w:ind w:firstLine="455" w:firstLineChars="189"/>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“遂宁市</w:t>
      </w:r>
      <w:r>
        <w:rPr>
          <w:rFonts w:hint="eastAsia" w:ascii="仿宋" w:hAnsi="仿宋" w:eastAsia="仿宋" w:cs="仿宋"/>
          <w:color w:val="auto"/>
          <w:sz w:val="24"/>
          <w:szCs w:val="24"/>
          <w:highlight w:val="none"/>
          <w:lang w:val="en-US" w:eastAsia="zh-CN"/>
        </w:rPr>
        <w:t>某</w:t>
      </w:r>
      <w:r>
        <w:rPr>
          <w:rFonts w:hint="eastAsia" w:ascii="仿宋" w:hAnsi="仿宋" w:eastAsia="仿宋" w:cs="仿宋"/>
          <w:color w:val="auto"/>
          <w:sz w:val="24"/>
          <w:szCs w:val="24"/>
          <w:highlight w:val="none"/>
        </w:rPr>
        <w:t>入河排污口水质监测”工作，具体包括：</w:t>
      </w:r>
    </w:p>
    <w:p w14:paraId="44C2EC61">
      <w:pPr>
        <w:keepNext w:val="0"/>
        <w:keepLines w:val="0"/>
        <w:pageBreakBefore w:val="0"/>
        <w:widowControl w:val="0"/>
        <w:tabs>
          <w:tab w:val="left" w:pos="7513"/>
        </w:tabs>
        <w:kinsoku/>
        <w:wordWrap/>
        <w:overflowPunct/>
        <w:topLinePunct w:val="0"/>
        <w:autoSpaceDE/>
        <w:autoSpaceDN/>
        <w:bidi w:val="0"/>
        <w:adjustRightInd w:val="0"/>
        <w:snapToGrid w:val="0"/>
        <w:spacing w:line="312" w:lineRule="auto"/>
        <w:ind w:firstLine="453" w:firstLineChars="18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按照《地表水环境质量监测技术规范》（HJ 91.2-2022）要求，对拟建排口上游500m、拟建排口下游1000m、拟建排口下游9km、排口下游12.5km、排口下游21.5km 五个断面水质进行采样监测，每个断面设置3个监测点，监测指标包括</w:t>
      </w:r>
      <w:r>
        <w:rPr>
          <w:rFonts w:hint="eastAsia" w:ascii="仿宋" w:hAnsi="仿宋" w:eastAsia="仿宋" w:cs="仿宋"/>
          <w:i w:val="0"/>
          <w:iCs w:val="0"/>
          <w:caps w:val="0"/>
          <w:color w:val="auto"/>
          <w:spacing w:val="0"/>
          <w:sz w:val="24"/>
          <w:szCs w:val="24"/>
          <w:highlight w:val="none"/>
          <w:shd w:val="clear" w:color="auto" w:fill="FFFFFF"/>
        </w:rPr>
        <w:t>水温、pH、溶解氧、高锰酸盐指数、五日生化需氧量、氨氮、化学需氧量、挥发酚、氰化物、砷、汞、六价铬、铅、镉、石油类、总磷、总氮、铜、锌、氟化物、硒、阴离子表面活性剂、硫化物、粪大肠菌群</w:t>
      </w:r>
      <w:r>
        <w:rPr>
          <w:rFonts w:hint="eastAsia" w:ascii="仿宋" w:hAnsi="仿宋" w:eastAsia="仿宋" w:cs="仿宋"/>
          <w:color w:val="auto"/>
          <w:sz w:val="24"/>
          <w:szCs w:val="24"/>
          <w:highlight w:val="none"/>
        </w:rPr>
        <w:t>24项指标，枯水期、丰水期各开展一次监测，每次监测连续监测3天。</w:t>
      </w:r>
    </w:p>
    <w:p w14:paraId="3125B027">
      <w:pPr>
        <w:adjustRightInd w:val="0"/>
        <w:snapToGrid w:val="0"/>
        <w:spacing w:line="312"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、供应商应结合本项目采购需求编制项目实施方案，包括①对本项目内容的理解及项目重难点分析、②质量保障措施、③实施进度计划、④人员职责及分工安排、⑤响应时间；</w:t>
      </w:r>
    </w:p>
    <w:p w14:paraId="08B50226">
      <w:pPr>
        <w:adjustRightInd w:val="0"/>
        <w:snapToGrid w:val="0"/>
        <w:spacing w:line="312"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、供应商应结合本项目采购需求编制项目服务方案，包括①后期服务保障及技术支持方案，②工期保障措施，③应急预案。</w:t>
      </w:r>
    </w:p>
    <w:p w14:paraId="2E2E8935">
      <w:pPr>
        <w:snapToGrid w:val="0"/>
        <w:spacing w:line="312" w:lineRule="auto"/>
        <w:ind w:firstLine="281" w:firstLineChars="100"/>
        <w:outlineLvl w:val="1"/>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（二）商务要求</w:t>
      </w:r>
    </w:p>
    <w:p w14:paraId="51A5DA50">
      <w:pPr>
        <w:snapToGrid w:val="0"/>
        <w:spacing w:line="312" w:lineRule="auto"/>
        <w:ind w:firstLine="482" w:firstLineChars="200"/>
        <w:rPr>
          <w:rFonts w:ascii="仿宋" w:hAnsi="仿宋" w:eastAsia="仿宋" w:cs="仿宋"/>
          <w:b/>
          <w:bCs/>
          <w:color w:val="auto"/>
          <w:kern w:val="44"/>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kern w:val="44"/>
          <w:sz w:val="24"/>
          <w:highlight w:val="none"/>
        </w:rPr>
        <w:t>1、服务时间及服务地点</w:t>
      </w:r>
    </w:p>
    <w:p w14:paraId="53451A24">
      <w:pPr>
        <w:snapToGrid w:val="0"/>
        <w:spacing w:line="312" w:lineRule="auto"/>
        <w:ind w:firstLine="482" w:firstLineChars="200"/>
        <w:rPr>
          <w:rFonts w:hint="eastAsia" w:ascii="仿宋" w:hAnsi="仿宋" w:eastAsia="仿宋" w:cs="仿宋"/>
          <w:b/>
          <w:bCs/>
          <w:color w:val="auto"/>
          <w:kern w:val="44"/>
          <w:sz w:val="24"/>
          <w:highlight w:val="none"/>
        </w:rPr>
      </w:pPr>
      <w:r>
        <w:rPr>
          <w:rFonts w:hint="eastAsia" w:ascii="仿宋" w:hAnsi="仿宋" w:eastAsia="仿宋" w:cs="仿宋"/>
          <w:b/>
          <w:bCs/>
          <w:color w:val="auto"/>
          <w:kern w:val="44"/>
          <w:sz w:val="24"/>
          <w:highlight w:val="none"/>
        </w:rPr>
        <w:t>（1）服务时间：</w:t>
      </w:r>
      <w:r>
        <w:rPr>
          <w:rFonts w:hint="eastAsia" w:ascii="仿宋" w:hAnsi="仿宋" w:eastAsia="仿宋" w:cs="仿宋"/>
          <w:b/>
          <w:bCs/>
          <w:color w:val="auto"/>
          <w:kern w:val="44"/>
          <w:sz w:val="24"/>
          <w:highlight w:val="none"/>
          <w:lang w:val="en-US" w:eastAsia="zh-CN"/>
        </w:rPr>
        <w:t>合同签订后至2026年6月30日止</w:t>
      </w:r>
      <w:r>
        <w:rPr>
          <w:rFonts w:hint="eastAsia" w:ascii="仿宋" w:hAnsi="仿宋" w:eastAsia="仿宋" w:cs="仿宋"/>
          <w:b/>
          <w:bCs/>
          <w:color w:val="auto"/>
          <w:kern w:val="44"/>
          <w:sz w:val="24"/>
          <w:highlight w:val="none"/>
        </w:rPr>
        <w:t>。</w:t>
      </w:r>
    </w:p>
    <w:p w14:paraId="45A1267D">
      <w:pPr>
        <w:snapToGrid w:val="0"/>
        <w:spacing w:line="312" w:lineRule="auto"/>
        <w:ind w:firstLine="482" w:firstLineChars="200"/>
        <w:rPr>
          <w:rFonts w:hint="eastAsia" w:ascii="仿宋" w:hAnsi="仿宋" w:eastAsia="仿宋" w:cs="仿宋"/>
          <w:color w:val="auto"/>
          <w:kern w:val="44"/>
          <w:sz w:val="24"/>
          <w:highlight w:val="none"/>
        </w:rPr>
      </w:pPr>
      <w:bookmarkStart w:id="2" w:name="_Toc8034"/>
      <w:bookmarkStart w:id="3" w:name="_Toc4272"/>
      <w:bookmarkStart w:id="4" w:name="_Toc19001"/>
      <w:bookmarkStart w:id="5" w:name="_Toc25580"/>
      <w:bookmarkStart w:id="6" w:name="_Toc26914"/>
      <w:bookmarkStart w:id="7" w:name="_Toc15573"/>
      <w:bookmarkStart w:id="8" w:name="_Toc8056"/>
      <w:bookmarkStart w:id="9" w:name="_Toc16574"/>
      <w:bookmarkStart w:id="10" w:name="_Toc25498"/>
      <w:bookmarkStart w:id="11" w:name="_Toc26434"/>
      <w:r>
        <w:rPr>
          <w:rFonts w:hint="eastAsia" w:ascii="仿宋" w:hAnsi="仿宋" w:eastAsia="仿宋" w:cs="仿宋"/>
          <w:b/>
          <w:color w:val="auto"/>
          <w:sz w:val="24"/>
          <w:highlight w:val="none"/>
        </w:rPr>
        <w:t>（2）</w:t>
      </w:r>
      <w:r>
        <w:rPr>
          <w:rFonts w:hint="eastAsia" w:ascii="仿宋" w:hAnsi="仿宋" w:eastAsia="仿宋" w:cs="仿宋"/>
          <w:b/>
          <w:bCs/>
          <w:color w:val="auto"/>
          <w:kern w:val="44"/>
          <w:sz w:val="24"/>
          <w:highlight w:val="none"/>
        </w:rPr>
        <w:t>服务地点：</w:t>
      </w:r>
      <w:r>
        <w:rPr>
          <w:rFonts w:hint="eastAsia" w:ascii="仿宋" w:hAnsi="仿宋" w:eastAsia="仿宋" w:cs="仿宋"/>
          <w:color w:val="auto"/>
          <w:kern w:val="44"/>
          <w:sz w:val="24"/>
          <w:highlight w:val="none"/>
        </w:rPr>
        <w:t>成都市范围内（采购人指定地点）。</w:t>
      </w:r>
    </w:p>
    <w:p w14:paraId="03E4F2E7">
      <w:pPr>
        <w:snapToGrid w:val="0"/>
        <w:spacing w:line="312"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kern w:val="0"/>
          <w:sz w:val="24"/>
          <w:highlight w:val="none"/>
        </w:rPr>
        <w:t>2、支付方式：</w:t>
      </w:r>
      <w:r>
        <w:rPr>
          <w:rFonts w:hint="eastAsia" w:ascii="仿宋" w:hAnsi="仿宋" w:eastAsia="仿宋" w:cs="仿宋"/>
          <w:color w:val="auto"/>
          <w:kern w:val="0"/>
          <w:sz w:val="24"/>
          <w:highlight w:val="none"/>
        </w:rPr>
        <w:t>分期付清。</w:t>
      </w:r>
    </w:p>
    <w:p w14:paraId="42295E57">
      <w:pPr>
        <w:snapToGrid w:val="0"/>
        <w:spacing w:line="312" w:lineRule="auto"/>
        <w:ind w:firstLine="482" w:firstLineChars="200"/>
        <w:rPr>
          <w:rFonts w:hint="eastAsia" w:ascii="仿宋" w:hAnsi="仿宋" w:eastAsia="仿宋" w:cs="仿宋"/>
          <w:bCs/>
          <w:color w:val="auto"/>
          <w:kern w:val="0"/>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kern w:val="0"/>
          <w:sz w:val="24"/>
          <w:highlight w:val="none"/>
        </w:rPr>
        <w:t>3、支付约定</w:t>
      </w:r>
      <w:r>
        <w:rPr>
          <w:rFonts w:hint="eastAsia" w:ascii="仿宋" w:hAnsi="仿宋" w:eastAsia="仿宋" w:cs="仿宋"/>
          <w:bCs/>
          <w:color w:val="auto"/>
          <w:kern w:val="0"/>
          <w:sz w:val="24"/>
          <w:highlight w:val="none"/>
        </w:rPr>
        <w:t>：项目实施完毕并验收合格，成交人向采购人提供支付凭证资料后15日内支付</w:t>
      </w:r>
      <w:r>
        <w:rPr>
          <w:rFonts w:hint="eastAsia" w:ascii="仿宋" w:hAnsi="仿宋" w:eastAsia="仿宋" w:cs="仿宋"/>
          <w:bCs/>
          <w:color w:val="auto"/>
          <w:kern w:val="0"/>
          <w:sz w:val="24"/>
          <w:highlight w:val="none"/>
          <w:lang w:val="en-US" w:eastAsia="zh-CN"/>
        </w:rPr>
        <w:t>100</w:t>
      </w:r>
      <w:r>
        <w:rPr>
          <w:rFonts w:hint="eastAsia" w:ascii="仿宋" w:hAnsi="仿宋" w:eastAsia="仿宋" w:cs="仿宋"/>
          <w:bCs/>
          <w:color w:val="auto"/>
          <w:kern w:val="0"/>
          <w:sz w:val="24"/>
          <w:highlight w:val="none"/>
        </w:rPr>
        <w:t>%的合同款项。</w:t>
      </w:r>
    </w:p>
    <w:p w14:paraId="7609B3A7">
      <w:pPr>
        <w:snapToGrid w:val="0"/>
        <w:spacing w:line="312" w:lineRule="auto"/>
        <w:ind w:firstLine="482" w:firstLineChars="200"/>
        <w:rPr>
          <w:rFonts w:hint="eastAsia" w:ascii="仿宋" w:hAnsi="仿宋" w:eastAsia="仿宋" w:cs="仿宋"/>
          <w:color w:val="auto"/>
          <w:kern w:val="44"/>
          <w:sz w:val="24"/>
          <w:highlight w:val="none"/>
        </w:rPr>
      </w:pPr>
      <w:r>
        <w:rPr>
          <w:rFonts w:hint="eastAsia" w:ascii="仿宋" w:hAnsi="仿宋" w:eastAsia="仿宋" w:cs="仿宋"/>
          <w:b/>
          <w:color w:val="auto"/>
          <w:sz w:val="24"/>
          <w:highlight w:val="none"/>
        </w:rPr>
        <w:t>★4</w:t>
      </w:r>
      <w:r>
        <w:rPr>
          <w:rFonts w:hint="eastAsia" w:ascii="仿宋" w:hAnsi="仿宋" w:eastAsia="仿宋" w:cs="仿宋"/>
          <w:b/>
          <w:bCs/>
          <w:color w:val="auto"/>
          <w:kern w:val="44"/>
          <w:sz w:val="24"/>
          <w:highlight w:val="none"/>
        </w:rPr>
        <w:t>、合同价款：</w:t>
      </w:r>
      <w:r>
        <w:rPr>
          <w:rFonts w:hint="eastAsia" w:ascii="仿宋" w:hAnsi="仿宋" w:eastAsia="仿宋" w:cs="仿宋"/>
          <w:color w:val="auto"/>
          <w:kern w:val="44"/>
          <w:sz w:val="24"/>
          <w:highlight w:val="none"/>
        </w:rPr>
        <w:t>报价应是完成本项目所有采购内容和磋商文件规定的全部费用。</w:t>
      </w:r>
      <w:bookmarkStart w:id="12" w:name="_Toc28829"/>
      <w:bookmarkStart w:id="13" w:name="_Toc32743"/>
    </w:p>
    <w:p w14:paraId="47B22760">
      <w:pPr>
        <w:snapToGrid w:val="0"/>
        <w:spacing w:line="312"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kern w:val="0"/>
          <w:sz w:val="24"/>
          <w:highlight w:val="none"/>
        </w:rPr>
        <w:t>5、</w:t>
      </w:r>
      <w:bookmarkEnd w:id="12"/>
      <w:bookmarkEnd w:id="13"/>
      <w:bookmarkStart w:id="14" w:name="_Toc821"/>
      <w:bookmarkStart w:id="15" w:name="_Toc13673"/>
      <w:r>
        <w:rPr>
          <w:rFonts w:hint="eastAsia" w:ascii="仿宋" w:hAnsi="仿宋" w:eastAsia="仿宋" w:cs="仿宋"/>
          <w:b/>
          <w:bCs/>
          <w:color w:val="auto"/>
          <w:kern w:val="0"/>
          <w:sz w:val="24"/>
          <w:highlight w:val="none"/>
        </w:rPr>
        <w:t>验收标准和方法：</w:t>
      </w:r>
    </w:p>
    <w:p w14:paraId="71D8B8CD">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1）验收组织方式：采购人自行验收 </w:t>
      </w:r>
    </w:p>
    <w:p w14:paraId="6E976B80">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2）是否邀请本项目的其他供应商：</w:t>
      </w:r>
      <w:r>
        <w:rPr>
          <w:rFonts w:hint="eastAsia" w:ascii="仿宋" w:hAnsi="仿宋" w:eastAsia="仿宋" w:cs="仿宋"/>
          <w:color w:val="auto"/>
          <w:sz w:val="24"/>
          <w:highlight w:val="none"/>
        </w:rPr>
        <w:t>□是  ☑否</w:t>
      </w:r>
    </w:p>
    <w:p w14:paraId="1D0258B9">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3）是否邀请专家：</w:t>
      </w:r>
      <w:r>
        <w:rPr>
          <w:rFonts w:hint="eastAsia" w:ascii="仿宋" w:hAnsi="仿宋" w:eastAsia="仿宋" w:cs="仿宋"/>
          <w:color w:val="auto"/>
          <w:sz w:val="24"/>
          <w:highlight w:val="none"/>
        </w:rPr>
        <w:t>□是  ☑否</w:t>
      </w:r>
    </w:p>
    <w:p w14:paraId="21C7AB97">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4）是否邀请服务对象：</w:t>
      </w:r>
      <w:r>
        <w:rPr>
          <w:rFonts w:hint="eastAsia" w:ascii="仿宋" w:hAnsi="仿宋" w:eastAsia="仿宋" w:cs="仿宋"/>
          <w:color w:val="auto"/>
          <w:sz w:val="24"/>
          <w:highlight w:val="none"/>
        </w:rPr>
        <w:t>□是  ☑否</w:t>
      </w:r>
    </w:p>
    <w:p w14:paraId="4469E1F3">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5）是否邀请第三方检测机构：</w:t>
      </w:r>
      <w:r>
        <w:rPr>
          <w:rFonts w:hint="eastAsia" w:ascii="仿宋" w:hAnsi="仿宋" w:eastAsia="仿宋" w:cs="仿宋"/>
          <w:color w:val="auto"/>
          <w:sz w:val="24"/>
          <w:highlight w:val="none"/>
        </w:rPr>
        <w:t>□是  ☑否</w:t>
      </w:r>
    </w:p>
    <w:p w14:paraId="224FD1F4">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6）履约验收程序：一次性验收</w:t>
      </w:r>
    </w:p>
    <w:p w14:paraId="67DCB0E2">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7）履约验收时间：成交人提出验收申请之日起15日内组织验收 </w:t>
      </w:r>
    </w:p>
    <w:p w14:paraId="5A7356CF">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8）验收组织的其他事项：无 </w:t>
      </w:r>
    </w:p>
    <w:p w14:paraId="2E332FE4">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9）技术履约验收内容：按照本项目采购文件中“技术、服务要求”及成交人响应文件进行验收。 </w:t>
      </w:r>
    </w:p>
    <w:p w14:paraId="11308649">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 xml:space="preserve">10）商务履约验收内容：按照本项目采购文件中“商务要求”及成交人响应文件进行验收。 </w:t>
      </w:r>
    </w:p>
    <w:p w14:paraId="08612103">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11）履约验收标准：参照《财政部关于进一步加强政府采购需求和履约验收管理的指导意见》（财库〔2016〕205号）、《政府采购需求管理办法》（财库〔2021〕22号）的要求进行验收。</w:t>
      </w:r>
    </w:p>
    <w:p w14:paraId="6CC65079">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w:t>
      </w:r>
      <w:r>
        <w:rPr>
          <w:rFonts w:hint="eastAsia" w:ascii="仿宋" w:hAnsi="仿宋" w:eastAsia="仿宋" w:cs="仿宋"/>
          <w:color w:val="auto"/>
          <w:kern w:val="0"/>
          <w:sz w:val="24"/>
          <w:highlight w:val="none"/>
        </w:rPr>
        <w:t>12）履约验收其他事项：无。</w:t>
      </w:r>
    </w:p>
    <w:bookmarkEnd w:id="14"/>
    <w:bookmarkEnd w:id="15"/>
    <w:p w14:paraId="355781D7">
      <w:pPr>
        <w:snapToGrid w:val="0"/>
        <w:spacing w:line="312"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6、包装方式和运输</w:t>
      </w:r>
      <w:bookmarkEnd w:id="2"/>
      <w:bookmarkEnd w:id="3"/>
      <w:bookmarkEnd w:id="4"/>
    </w:p>
    <w:p w14:paraId="5419D243">
      <w:pPr>
        <w:snapToGrid w:val="0"/>
        <w:spacing w:line="312" w:lineRule="auto"/>
        <w:ind w:firstLine="482" w:firstLineChars="200"/>
        <w:rPr>
          <w:rFonts w:hint="eastAsia" w:ascii="仿宋" w:hAnsi="仿宋" w:eastAsia="仿宋" w:cs="仿宋"/>
          <w:color w:val="auto"/>
          <w:kern w:val="0"/>
          <w:sz w:val="24"/>
          <w:highlight w:val="none"/>
        </w:rPr>
      </w:pPr>
      <w:bookmarkStart w:id="16" w:name="_Toc23217"/>
      <w:bookmarkStart w:id="17" w:name="_Toc17036"/>
      <w:bookmarkStart w:id="18" w:name="_Toc9737"/>
      <w:bookmarkStart w:id="19" w:name="_Toc31968"/>
      <w:r>
        <w:rPr>
          <w:rFonts w:hint="eastAsia" w:ascii="仿宋" w:hAnsi="仿宋" w:eastAsia="仿宋" w:cs="仿宋"/>
          <w:b/>
          <w:color w:val="auto"/>
          <w:sz w:val="24"/>
          <w:highlight w:val="none"/>
        </w:rPr>
        <w:t>★</w:t>
      </w:r>
      <w:r>
        <w:rPr>
          <w:rFonts w:hint="eastAsia" w:ascii="仿宋" w:hAnsi="仿宋" w:eastAsia="仿宋" w:cs="仿宋"/>
          <w:color w:val="auto"/>
          <w:kern w:val="0"/>
          <w:sz w:val="24"/>
          <w:highlight w:val="none"/>
        </w:rPr>
        <w:t>（1）成交人</w:t>
      </w:r>
      <w:bookmarkEnd w:id="16"/>
      <w:bookmarkEnd w:id="17"/>
      <w:bookmarkEnd w:id="18"/>
      <w:bookmarkEnd w:id="19"/>
      <w:r>
        <w:rPr>
          <w:rFonts w:hint="eastAsia" w:ascii="仿宋" w:hAnsi="仿宋" w:eastAsia="仿宋" w:cs="仿宋"/>
          <w:color w:val="auto"/>
          <w:kern w:val="0"/>
          <w:sz w:val="24"/>
          <w:highlight w:val="none"/>
        </w:rPr>
        <w:t>应符合《商品包装政府采购需求标准（试行）》、《快递包装政府采购需求标准（试行）》（财办库〔2020〕123号）的要求进行产品及相关快递服务的包装。</w:t>
      </w:r>
    </w:p>
    <w:p w14:paraId="35F2BF49">
      <w:pPr>
        <w:snapToGrid w:val="0"/>
        <w:spacing w:line="312" w:lineRule="auto"/>
        <w:ind w:firstLine="482" w:firstLineChars="200"/>
        <w:rPr>
          <w:rFonts w:hint="eastAsia" w:ascii="仿宋" w:hAnsi="仿宋" w:eastAsia="仿宋" w:cs="仿宋"/>
          <w:b/>
          <w:color w:val="auto"/>
          <w:sz w:val="24"/>
          <w:highlight w:val="none"/>
        </w:rPr>
      </w:pPr>
      <w:bookmarkStart w:id="20" w:name="_Toc29648"/>
      <w:bookmarkStart w:id="21" w:name="_Toc30165"/>
      <w:bookmarkStart w:id="22" w:name="_Toc1436"/>
      <w:r>
        <w:rPr>
          <w:rFonts w:hint="eastAsia" w:ascii="仿宋" w:hAnsi="仿宋" w:eastAsia="仿宋" w:cs="仿宋"/>
          <w:b/>
          <w:color w:val="auto"/>
          <w:sz w:val="24"/>
          <w:highlight w:val="none"/>
        </w:rPr>
        <w:t>7、保险</w:t>
      </w:r>
      <w:bookmarkEnd w:id="5"/>
      <w:bookmarkEnd w:id="6"/>
      <w:bookmarkEnd w:id="7"/>
      <w:bookmarkEnd w:id="8"/>
      <w:bookmarkEnd w:id="9"/>
      <w:bookmarkEnd w:id="10"/>
      <w:bookmarkEnd w:id="11"/>
      <w:bookmarkEnd w:id="20"/>
      <w:bookmarkEnd w:id="21"/>
      <w:bookmarkEnd w:id="22"/>
    </w:p>
    <w:p w14:paraId="0CF8CB1A">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w:t>
      </w:r>
    </w:p>
    <w:p w14:paraId="205FA09D">
      <w:pPr>
        <w:snapToGrid w:val="0"/>
        <w:spacing w:line="312"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供应商为本项目提供履约的所有人员应依照《中华人民共和国劳动合同法》订立劳动合同，如有退休人员或其他依法不能签订劳动合同的人员应签订劳务合同，并为上述人员购买意外保险，涉及第三者责任的还应当为其购买第三者责任险。</w:t>
      </w:r>
    </w:p>
    <w:p w14:paraId="343716DC">
      <w:pPr>
        <w:pStyle w:val="5"/>
        <w:snapToGrid w:val="0"/>
        <w:spacing w:line="312" w:lineRule="auto"/>
        <w:ind w:firstLine="482" w:firstLineChars="200"/>
        <w:rPr>
          <w:rFonts w:hint="eastAsia" w:ascii="仿宋" w:hAnsi="仿宋" w:eastAsia="仿宋" w:cs="仿宋"/>
          <w:color w:val="auto"/>
          <w:sz w:val="24"/>
          <w:szCs w:val="24"/>
          <w:highlight w:val="none"/>
        </w:rPr>
      </w:pPr>
      <w:bookmarkStart w:id="23" w:name="_Toc13362"/>
      <w:bookmarkStart w:id="24" w:name="_Toc22026"/>
      <w:bookmarkStart w:id="25" w:name="_Toc14109"/>
      <w:bookmarkStart w:id="26" w:name="_Toc20781"/>
      <w:bookmarkStart w:id="27" w:name="_Toc27313"/>
      <w:bookmarkStart w:id="28" w:name="_Toc11570"/>
      <w:bookmarkStart w:id="29" w:name="_Toc2218"/>
      <w:bookmarkStart w:id="30" w:name="_Toc12073"/>
      <w:bookmarkStart w:id="31" w:name="_Toc32726"/>
      <w:bookmarkStart w:id="32" w:name="_Toc32286_WPSOffice_Level2"/>
      <w:bookmarkStart w:id="33" w:name="_Toc13746"/>
      <w:bookmarkStart w:id="34" w:name="_Toc14685"/>
      <w:bookmarkStart w:id="35" w:name="_Toc8092"/>
      <w:r>
        <w:rPr>
          <w:rFonts w:hint="eastAsia" w:ascii="仿宋" w:hAnsi="仿宋" w:eastAsia="仿宋" w:cs="仿宋"/>
          <w:b/>
          <w:color w:val="auto"/>
          <w:sz w:val="24"/>
          <w:highlight w:val="none"/>
        </w:rPr>
        <w:t>★8、知识产权归属和处理方式：</w:t>
      </w:r>
      <w:r>
        <w:rPr>
          <w:rFonts w:hint="eastAsia" w:ascii="仿宋" w:hAnsi="仿宋" w:eastAsia="仿宋" w:cs="仿宋"/>
          <w:color w:val="auto"/>
          <w:sz w:val="24"/>
          <w:szCs w:val="24"/>
          <w:highlight w:val="none"/>
        </w:rPr>
        <w:t>采购人享有本项目实施过程中产生的知识成果及知识产权。</w:t>
      </w:r>
    </w:p>
    <w:p w14:paraId="2CAF95B6">
      <w:pPr>
        <w:snapToGrid w:val="0"/>
        <w:spacing w:line="312" w:lineRule="auto"/>
        <w:ind w:left="479" w:leftChars="228"/>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9、违约责任与解决争议的办法</w:t>
      </w:r>
    </w:p>
    <w:p w14:paraId="4092C8E9">
      <w:pPr>
        <w:snapToGrid w:val="0"/>
        <w:spacing w:line="312" w:lineRule="auto"/>
        <w:ind w:left="479" w:leftChars="228"/>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（1）违约责任</w:t>
      </w:r>
    </w:p>
    <w:p w14:paraId="75FC37AC">
      <w:pPr>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1）双方必须遵守采购合同并执行采购合同中的各项规定，保证采购合同的正常履行。</w:t>
      </w:r>
    </w:p>
    <w:p w14:paraId="454BB3A3">
      <w:pPr>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5156E7F8">
      <w:pPr>
        <w:pStyle w:val="8"/>
        <w:snapToGrid w:val="0"/>
        <w:spacing w:line="312" w:lineRule="auto"/>
        <w:ind w:firstLine="48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w:t>
      </w:r>
      <w:r>
        <w:rPr>
          <w:rFonts w:hint="eastAsia" w:ascii="仿宋" w:hAnsi="仿宋" w:eastAsia="仿宋" w:cs="仿宋"/>
          <w:b/>
          <w:color w:val="auto"/>
          <w:highlight w:val="none"/>
        </w:rPr>
        <w:t>解决争议的办法</w:t>
      </w:r>
    </w:p>
    <w:p w14:paraId="3D238D30">
      <w:pPr>
        <w:pStyle w:val="8"/>
        <w:snapToGrid w:val="0"/>
        <w:spacing w:line="312"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合同履行期间,若双方发生争议，可协商或由有关部门调解解决，协商或调解不成的，由当事人依法向采购人所在地有管辖权的法院提起诉讼维护其合法权益。</w:t>
      </w:r>
    </w:p>
    <w:p w14:paraId="2B9A652A">
      <w:pPr>
        <w:snapToGrid w:val="0"/>
        <w:spacing w:line="312"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10、其他要求</w:t>
      </w:r>
      <w:bookmarkEnd w:id="23"/>
      <w:bookmarkEnd w:id="24"/>
      <w:bookmarkEnd w:id="25"/>
      <w:bookmarkEnd w:id="26"/>
      <w:bookmarkEnd w:id="27"/>
      <w:bookmarkEnd w:id="28"/>
      <w:bookmarkEnd w:id="29"/>
      <w:bookmarkEnd w:id="30"/>
      <w:bookmarkEnd w:id="31"/>
      <w:bookmarkEnd w:id="32"/>
      <w:bookmarkEnd w:id="33"/>
      <w:bookmarkEnd w:id="34"/>
      <w:bookmarkEnd w:id="35"/>
    </w:p>
    <w:p w14:paraId="3232E363">
      <w:pPr>
        <w:pStyle w:val="9"/>
        <w:tabs>
          <w:tab w:val="left" w:pos="0"/>
          <w:tab w:val="left" w:pos="1134"/>
        </w:tabs>
        <w:snapToGrid w:val="0"/>
        <w:spacing w:line="312"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（1）供应商应建立良好的项目实施质量管理、职业健康安全管理以及环境管理体系，保障项目实施质量以及相关人员健康安全和实施环境安全。</w:t>
      </w:r>
    </w:p>
    <w:p w14:paraId="2EBD0B93">
      <w:pPr>
        <w:pStyle w:val="10"/>
        <w:widowControl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供应商应为本项目配备项目实施相关人员，</w:t>
      </w:r>
      <w:r>
        <w:rPr>
          <w:rFonts w:hint="eastAsia" w:ascii="仿宋" w:hAnsi="仿宋" w:eastAsia="仿宋" w:cs="仿宋"/>
          <w:color w:val="auto"/>
          <w:sz w:val="24"/>
          <w:szCs w:val="24"/>
          <w:highlight w:val="none"/>
        </w:rPr>
        <w:t>采购人在项目执行过程中定期核对供应商提供完成项目所配备的人员数量及相关信息，对于未按照磋商文件及响应文件相关内容执行或存在不合理的部分有权下达整改通知书，并要求供应商限期整改，并根据合同约定的违约情况进行处理。</w:t>
      </w:r>
    </w:p>
    <w:p w14:paraId="28900653">
      <w:pPr>
        <w:pStyle w:val="10"/>
        <w:widowControl w:val="0"/>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（3）供应商在项目执行过程中定期及时向采购人通告本项目的重大事项及其进度。</w:t>
      </w:r>
    </w:p>
    <w:p w14:paraId="406D9CA7">
      <w:pPr>
        <w:pStyle w:val="4"/>
        <w:snapToGrid w:val="0"/>
        <w:spacing w:after="0"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（4）接受项目行业管理部门及政府有关部门的指导，接受采购人的监督。</w:t>
      </w:r>
    </w:p>
    <w:bookmarkEnd w:id="1"/>
    <w:p w14:paraId="243EC4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4628D"/>
    <w:rsid w:val="33646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宋体"/>
      <w:szCs w:val="24"/>
    </w:rPr>
  </w:style>
  <w:style w:type="paragraph" w:styleId="4">
    <w:name w:val="Body Text"/>
    <w:basedOn w:val="1"/>
    <w:qFormat/>
    <w:uiPriority w:val="0"/>
    <w:pPr>
      <w:spacing w:after="120"/>
    </w:pPr>
    <w:rPr>
      <w:rFonts w:ascii="Times New Roman" w:hAnsi="Times New Roman" w:eastAsia="宋体" w:cs="Times New Roman"/>
      <w:szCs w:val="24"/>
    </w:rPr>
  </w:style>
  <w:style w:type="paragraph" w:styleId="5">
    <w:name w:val="Body Text Indent"/>
    <w:basedOn w:val="1"/>
    <w:qFormat/>
    <w:uiPriority w:val="0"/>
    <w:pPr>
      <w:ind w:firstLine="630"/>
    </w:pPr>
    <w:rPr>
      <w:rFonts w:eastAsia="宋体"/>
      <w:sz w:val="32"/>
    </w:rPr>
  </w:style>
  <w:style w:type="paragraph" w:customStyle="1" w:styleId="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0">
    <w:name w:val="正文（绿盟科技）"/>
    <w:next w:val="1"/>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2025-12-04T08:51:00Z</dcterms:created>
  <dc:creator>admin</dc:creator>
  <cp:lastModifiedBy>admin</cp:lastModifiedBy>
  <dcterms:modified xsi:type="dcterms:W3CDTF">2025-12-04T08:52:39Z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D0A46B872FAD4386893D5B010F1C955E_11</vt:lpwstr>
  </property>
  <property fmtid="{D5CDD505-2E9C-101B-9397-08002B2CF9AE}" pid="4" name="KSOTemplateDocerSaveRecord">
    <vt:lpwstr>eyJoZGlkIjoiMjNiNGJiYWRkMGJmMTdjZTEzY2Y3OTgwMDZjMGI0MTEiLCJ1c2VySWQiOiIzOTA3OTIwODQifQ==</vt:lpwstr>
  </property>
</Properties>
</file>