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04A7A">
      <w:pPr>
        <w:pStyle w:val="2"/>
        <w:pageBreakBefore/>
        <w:snapToGrid w:val="0"/>
        <w:spacing w:before="0" w:after="0" w:line="312" w:lineRule="auto"/>
        <w:jc w:val="center"/>
        <w:rPr>
          <w:rFonts w:hint="eastAsia" w:ascii="仿宋" w:hAnsi="仿宋" w:eastAsia="仿宋" w:cs="仿宋"/>
          <w:sz w:val="28"/>
          <w:szCs w:val="28"/>
          <w:highlight w:val="none"/>
        </w:rPr>
      </w:pPr>
      <w:bookmarkStart w:id="0" w:name="_Toc24352"/>
      <w:r>
        <w:rPr>
          <w:rFonts w:hint="eastAsia" w:ascii="仿宋" w:hAnsi="仿宋" w:eastAsia="仿宋" w:cs="仿宋"/>
          <w:sz w:val="36"/>
          <w:szCs w:val="36"/>
          <w:highlight w:val="none"/>
        </w:rPr>
        <w:t xml:space="preserve">  采购项目技术、服务、商务及其他要求</w:t>
      </w:r>
      <w:bookmarkEnd w:id="0"/>
      <w:bookmarkStart w:id="1" w:name="_Hlk45530010"/>
    </w:p>
    <w:p w14:paraId="31FC3F6C">
      <w:pPr>
        <w:snapToGrid w:val="0"/>
        <w:spacing w:line="312"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bCs/>
          <w:kern w:val="44"/>
          <w:sz w:val="24"/>
          <w:highlight w:val="none"/>
        </w:rPr>
        <w:t>注：本章中</w:t>
      </w:r>
      <w:r>
        <w:rPr>
          <w:rFonts w:hint="eastAsia" w:ascii="仿宋" w:hAnsi="仿宋" w:eastAsia="仿宋" w:cs="仿宋"/>
          <w:b/>
          <w:sz w:val="24"/>
          <w:highlight w:val="none"/>
        </w:rPr>
        <w:t>带“★”项内容为本项目实质性要求，未响应或不满足，按无效响应处理。</w:t>
      </w:r>
      <w:r>
        <w:rPr>
          <w:rFonts w:hint="eastAsia" w:ascii="仿宋" w:hAnsi="仿宋" w:eastAsia="仿宋" w:cs="仿宋"/>
          <w:b/>
          <w:sz w:val="28"/>
          <w:szCs w:val="28"/>
          <w:highlight w:val="none"/>
        </w:rPr>
        <w:br w:type="textWrapping"/>
      </w:r>
      <w:r>
        <w:rPr>
          <w:rFonts w:hint="eastAsia" w:ascii="仿宋" w:hAnsi="仿宋" w:eastAsia="仿宋" w:cs="仿宋"/>
          <w:b/>
          <w:bCs/>
          <w:kern w:val="44"/>
          <w:sz w:val="28"/>
          <w:szCs w:val="28"/>
          <w:highlight w:val="none"/>
        </w:rPr>
        <w:t>一、项目概况</w:t>
      </w:r>
    </w:p>
    <w:p w14:paraId="7BE6881E">
      <w:pPr>
        <w:snapToGrid w:val="0"/>
        <w:spacing w:line="312" w:lineRule="auto"/>
        <w:ind w:firstLine="281" w:firstLineChars="100"/>
        <w:outlineLvl w:val="1"/>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（一）项目概述</w:t>
      </w:r>
    </w:p>
    <w:p w14:paraId="58D207E1">
      <w:pPr>
        <w:snapToGrid w:val="0"/>
        <w:spacing w:line="312" w:lineRule="auto"/>
        <w:ind w:firstLine="480" w:firstLineChars="200"/>
        <w:rPr>
          <w:rFonts w:hint="eastAsia" w:ascii="仿宋" w:hAnsi="仿宋" w:eastAsia="仿宋" w:cs="仿宋"/>
          <w:b/>
          <w:bCs/>
          <w:kern w:val="44"/>
          <w:sz w:val="28"/>
          <w:szCs w:val="28"/>
          <w:highlight w:val="none"/>
        </w:rPr>
      </w:pPr>
      <w:r>
        <w:rPr>
          <w:rFonts w:hint="eastAsia" w:ascii="仿宋" w:hAnsi="仿宋" w:eastAsia="仿宋" w:cs="仿宋"/>
          <w:kern w:val="44"/>
          <w:sz w:val="24"/>
          <w:highlight w:val="none"/>
        </w:rPr>
        <w:t>阿坝州流域宣传片制作项目，本次采购共分1个包。</w:t>
      </w:r>
      <w:bookmarkStart w:id="37" w:name="_GoBack"/>
      <w:bookmarkEnd w:id="37"/>
    </w:p>
    <w:p w14:paraId="14A6CE6C">
      <w:pPr>
        <w:snapToGrid w:val="0"/>
        <w:spacing w:line="312" w:lineRule="auto"/>
        <w:ind w:firstLine="281" w:firstLineChars="100"/>
        <w:outlineLvl w:val="1"/>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（二）标的名称及所属行业</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4974"/>
        <w:gridCol w:w="2779"/>
      </w:tblGrid>
      <w:tr w14:paraId="50E7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86" w:type="dxa"/>
            <w:noWrap w:val="0"/>
            <w:vAlign w:val="center"/>
          </w:tcPr>
          <w:p w14:paraId="4FF0229A">
            <w:pPr>
              <w:pStyle w:val="3"/>
              <w:snapToGrid w:val="0"/>
              <w:spacing w:line="312" w:lineRule="auto"/>
              <w:ind w:firstLine="0" w:firstLineChars="0"/>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5215" w:type="dxa"/>
            <w:noWrap w:val="0"/>
            <w:vAlign w:val="center"/>
          </w:tcPr>
          <w:p w14:paraId="11529CA3">
            <w:pPr>
              <w:pStyle w:val="3"/>
              <w:snapToGrid w:val="0"/>
              <w:spacing w:line="312" w:lineRule="auto"/>
              <w:ind w:firstLine="0" w:firstLineChars="0"/>
              <w:jc w:val="center"/>
              <w:rPr>
                <w:rFonts w:hint="eastAsia" w:ascii="仿宋" w:hAnsi="仿宋" w:eastAsia="仿宋" w:cs="仿宋"/>
                <w:b/>
                <w:sz w:val="24"/>
                <w:highlight w:val="none"/>
              </w:rPr>
            </w:pPr>
            <w:r>
              <w:rPr>
                <w:rFonts w:hint="eastAsia" w:ascii="仿宋" w:hAnsi="仿宋" w:eastAsia="仿宋" w:cs="仿宋"/>
                <w:b/>
                <w:sz w:val="24"/>
                <w:highlight w:val="none"/>
              </w:rPr>
              <w:t>标的名称</w:t>
            </w:r>
          </w:p>
        </w:tc>
        <w:tc>
          <w:tcPr>
            <w:tcW w:w="2903" w:type="dxa"/>
            <w:noWrap w:val="0"/>
            <w:vAlign w:val="center"/>
          </w:tcPr>
          <w:p w14:paraId="3B6196AA">
            <w:pPr>
              <w:pStyle w:val="3"/>
              <w:snapToGrid w:val="0"/>
              <w:spacing w:line="312" w:lineRule="auto"/>
              <w:ind w:firstLine="0" w:firstLineChars="0"/>
              <w:jc w:val="center"/>
              <w:rPr>
                <w:rFonts w:hint="eastAsia" w:ascii="仿宋" w:hAnsi="仿宋" w:eastAsia="仿宋" w:cs="仿宋"/>
                <w:kern w:val="44"/>
                <w:sz w:val="24"/>
                <w:highlight w:val="none"/>
              </w:rPr>
            </w:pPr>
            <w:r>
              <w:rPr>
                <w:rFonts w:hint="eastAsia" w:ascii="仿宋" w:hAnsi="仿宋" w:eastAsia="仿宋" w:cs="仿宋"/>
                <w:b/>
                <w:sz w:val="24"/>
                <w:highlight w:val="none"/>
              </w:rPr>
              <w:t>所属行业</w:t>
            </w:r>
          </w:p>
        </w:tc>
      </w:tr>
      <w:tr w14:paraId="6721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86" w:type="dxa"/>
            <w:noWrap w:val="0"/>
            <w:vAlign w:val="center"/>
          </w:tcPr>
          <w:p w14:paraId="3243B774">
            <w:pPr>
              <w:pStyle w:val="3"/>
              <w:snapToGrid w:val="0"/>
              <w:spacing w:line="312" w:lineRule="auto"/>
              <w:ind w:firstLine="0" w:firstLineChars="0"/>
              <w:jc w:val="center"/>
              <w:rPr>
                <w:rFonts w:hint="eastAsia" w:ascii="仿宋" w:hAnsi="仿宋" w:eastAsia="仿宋" w:cs="仿宋"/>
                <w:bCs/>
                <w:sz w:val="24"/>
                <w:highlight w:val="none"/>
              </w:rPr>
            </w:pPr>
            <w:r>
              <w:rPr>
                <w:rFonts w:hint="eastAsia" w:ascii="仿宋" w:hAnsi="仿宋" w:eastAsia="仿宋" w:cs="仿宋"/>
                <w:bCs/>
                <w:sz w:val="24"/>
                <w:highlight w:val="none"/>
              </w:rPr>
              <w:t>1</w:t>
            </w:r>
          </w:p>
        </w:tc>
        <w:tc>
          <w:tcPr>
            <w:tcW w:w="5215" w:type="dxa"/>
            <w:noWrap w:val="0"/>
            <w:vAlign w:val="center"/>
          </w:tcPr>
          <w:p w14:paraId="1AF181F6">
            <w:pPr>
              <w:pStyle w:val="3"/>
              <w:snapToGrid w:val="0"/>
              <w:spacing w:line="312" w:lineRule="auto"/>
              <w:ind w:firstLine="0" w:firstLineChars="0"/>
              <w:jc w:val="center"/>
              <w:rPr>
                <w:rFonts w:ascii="仿宋" w:hAnsi="仿宋" w:eastAsia="仿宋" w:cs="仿宋"/>
                <w:bCs/>
                <w:sz w:val="24"/>
                <w:highlight w:val="none"/>
              </w:rPr>
            </w:pPr>
            <w:r>
              <w:rPr>
                <w:rFonts w:hint="eastAsia" w:ascii="仿宋" w:hAnsi="仿宋" w:eastAsia="仿宋" w:cs="仿宋"/>
                <w:kern w:val="44"/>
                <w:sz w:val="24"/>
                <w:highlight w:val="none"/>
              </w:rPr>
              <w:t>阿坝州流域宣传片制作服务</w:t>
            </w:r>
          </w:p>
        </w:tc>
        <w:tc>
          <w:tcPr>
            <w:tcW w:w="2903" w:type="dxa"/>
            <w:noWrap w:val="0"/>
            <w:vAlign w:val="center"/>
          </w:tcPr>
          <w:p w14:paraId="4FF9B70C">
            <w:pPr>
              <w:pStyle w:val="3"/>
              <w:snapToGrid w:val="0"/>
              <w:spacing w:line="312" w:lineRule="auto"/>
              <w:ind w:firstLine="0" w:firstLineChars="0"/>
              <w:jc w:val="center"/>
              <w:rPr>
                <w:rFonts w:ascii="仿宋" w:hAnsi="仿宋" w:eastAsia="仿宋" w:cs="仿宋"/>
                <w:kern w:val="44"/>
                <w:sz w:val="24"/>
                <w:highlight w:val="none"/>
              </w:rPr>
            </w:pPr>
            <w:r>
              <w:rPr>
                <w:rFonts w:ascii="仿宋" w:hAnsi="仿宋" w:eastAsia="仿宋" w:cs="仿宋"/>
                <w:kern w:val="44"/>
                <w:sz w:val="24"/>
                <w:highlight w:val="none"/>
              </w:rPr>
              <w:t>其他未列明行业</w:t>
            </w:r>
          </w:p>
        </w:tc>
      </w:tr>
    </w:tbl>
    <w:p w14:paraId="20CE9C8E">
      <w:pPr>
        <w:snapToGrid w:val="0"/>
        <w:spacing w:line="312" w:lineRule="auto"/>
        <w:ind w:firstLine="480" w:firstLineChars="200"/>
        <w:rPr>
          <w:rFonts w:hint="eastAsia" w:ascii="仿宋" w:hAnsi="仿宋" w:eastAsia="仿宋" w:cs="仿宋"/>
          <w:kern w:val="44"/>
          <w:sz w:val="24"/>
          <w:highlight w:val="none"/>
        </w:rPr>
      </w:pPr>
      <w:r>
        <w:rPr>
          <w:rFonts w:hint="eastAsia" w:ascii="仿宋" w:hAnsi="仿宋" w:eastAsia="仿宋" w:cs="仿宋"/>
          <w:kern w:val="44"/>
          <w:sz w:val="24"/>
          <w:highlight w:val="none"/>
        </w:rPr>
        <w:t>注：1、上表中“所属行业”系指“《工业和信息化部、国家统计局、国家发展和改革委员会、财政部关于印发中小企业划型标准规定的通知》（工信部联企业〔2011〕300号文件）、《统计上大中小微型企业划分办法（2017）》附表：统计上大中小微型企业划分标准”规定的中小企业划型标准所属行业。</w:t>
      </w:r>
    </w:p>
    <w:p w14:paraId="15F5FC22">
      <w:pPr>
        <w:snapToGrid w:val="0"/>
        <w:spacing w:line="312" w:lineRule="auto"/>
        <w:ind w:firstLine="482" w:firstLineChars="200"/>
        <w:rPr>
          <w:rFonts w:ascii="仿宋" w:hAnsi="仿宋" w:eastAsia="仿宋" w:cs="仿宋"/>
          <w:b/>
          <w:bCs/>
          <w:kern w:val="0"/>
          <w:sz w:val="24"/>
          <w:szCs w:val="24"/>
          <w:highlight w:val="none"/>
        </w:rPr>
      </w:pPr>
      <w:r>
        <w:rPr>
          <w:rFonts w:hint="eastAsia" w:ascii="仿宋" w:hAnsi="仿宋" w:eastAsia="仿宋" w:cs="仿宋"/>
          <w:b/>
          <w:bCs/>
          <w:kern w:val="44"/>
          <w:sz w:val="24"/>
          <w:highlight w:val="none"/>
        </w:rPr>
        <w:t>2、供应商应按照上表所列标的名称、所属行业填写《中小企业声明函》</w:t>
      </w:r>
      <w:r>
        <w:rPr>
          <w:rFonts w:hint="eastAsia" w:ascii="仿宋" w:hAnsi="仿宋" w:eastAsia="仿宋" w:cs="仿宋"/>
          <w:b/>
          <w:bCs/>
          <w:kern w:val="0"/>
          <w:sz w:val="24"/>
          <w:szCs w:val="24"/>
          <w:highlight w:val="none"/>
        </w:rPr>
        <w:t>。</w:t>
      </w:r>
    </w:p>
    <w:p w14:paraId="2D1B2251">
      <w:pPr>
        <w:pStyle w:val="4"/>
        <w:rPr>
          <w:rFonts w:hint="eastAsia"/>
          <w:highlight w:val="none"/>
        </w:rPr>
      </w:pPr>
    </w:p>
    <w:p w14:paraId="6072F09E">
      <w:pPr>
        <w:snapToGrid w:val="0"/>
        <w:spacing w:line="312" w:lineRule="auto"/>
        <w:outlineLvl w:val="1"/>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二、技术、服务要求</w:t>
      </w:r>
    </w:p>
    <w:p w14:paraId="50D0004C">
      <w:pPr>
        <w:snapToGrid w:val="0"/>
        <w:spacing w:line="312" w:lineRule="auto"/>
        <w:ind w:firstLine="562" w:firstLineChars="200"/>
        <w:outlineLvl w:val="1"/>
        <w:rPr>
          <w:rFonts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（一）服务内容及要求</w:t>
      </w:r>
    </w:p>
    <w:p w14:paraId="4C27C4ED">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服务内容</w:t>
      </w:r>
    </w:p>
    <w:p w14:paraId="6FF20CB5">
      <w:pPr>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拍摄并制作</w:t>
      </w:r>
      <w:bookmarkStart w:id="2" w:name="OLE_LINK5"/>
      <w:r>
        <w:rPr>
          <w:rFonts w:hint="eastAsia" w:ascii="仿宋" w:hAnsi="仿宋" w:eastAsia="仿宋" w:cs="仿宋"/>
          <w:bCs/>
          <w:sz w:val="24"/>
          <w:szCs w:val="24"/>
          <w:highlight w:val="none"/>
        </w:rPr>
        <w:t>阿坝州流域宣传片3部</w:t>
      </w:r>
      <w:bookmarkEnd w:id="2"/>
      <w:r>
        <w:rPr>
          <w:rFonts w:hint="eastAsia" w:ascii="仿宋" w:hAnsi="仿宋" w:eastAsia="仿宋" w:cs="仿宋"/>
          <w:bCs/>
          <w:sz w:val="24"/>
          <w:szCs w:val="24"/>
          <w:highlight w:val="none"/>
        </w:rPr>
        <w:t>，分别是梭磨河、白河（九寨沟县）、白河（红原县、若尔盖县），至少包括负责策划、文案撰写、拍摄脚本、剪辑、特效制作、配音、配乐、字幕制作内容。宣传片内容必须为原创，不涉及版权纠纷。</w:t>
      </w:r>
    </w:p>
    <w:p w14:paraId="5C77BF04">
      <w:pPr>
        <w:adjustRightInd w:val="0"/>
        <w:snapToGrid w:val="0"/>
        <w:spacing w:line="312" w:lineRule="auto"/>
        <w:ind w:firstLine="482" w:firstLineChars="200"/>
        <w:rPr>
          <w:rFonts w:ascii="仿宋" w:hAnsi="仿宋" w:eastAsia="仿宋" w:cs="仿宋"/>
          <w:b/>
          <w:bCs/>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sz w:val="24"/>
          <w:szCs w:val="24"/>
          <w:highlight w:val="none"/>
        </w:rPr>
        <w:t>2、服务要求</w:t>
      </w:r>
    </w:p>
    <w:p w14:paraId="0AE38ABE">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ascii="仿宋" w:hAnsi="仿宋" w:eastAsia="仿宋" w:cs="仿宋"/>
          <w:sz w:val="24"/>
          <w:szCs w:val="24"/>
          <w:highlight w:val="none"/>
        </w:rPr>
        <w:t>画质</w:t>
      </w:r>
      <w:r>
        <w:rPr>
          <w:rFonts w:hint="eastAsia" w:ascii="仿宋" w:hAnsi="仿宋" w:eastAsia="仿宋" w:cs="仿宋"/>
          <w:sz w:val="24"/>
          <w:szCs w:val="24"/>
          <w:highlight w:val="none"/>
        </w:rPr>
        <w:t>要求</w:t>
      </w:r>
      <w:r>
        <w:rPr>
          <w:rFonts w:ascii="仿宋" w:hAnsi="仿宋" w:eastAsia="仿宋" w:cs="仿宋"/>
          <w:sz w:val="24"/>
          <w:szCs w:val="24"/>
          <w:highlight w:val="none"/>
        </w:rPr>
        <w:t>：4096*2160（或4K）</w:t>
      </w:r>
      <w:r>
        <w:rPr>
          <w:rFonts w:hint="eastAsia" w:ascii="仿宋" w:hAnsi="仿宋" w:eastAsia="仿宋" w:cs="仿宋"/>
          <w:sz w:val="24"/>
          <w:szCs w:val="24"/>
          <w:highlight w:val="none"/>
        </w:rPr>
        <w:t>。</w:t>
      </w:r>
    </w:p>
    <w:p w14:paraId="7D30397F">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ascii="仿宋" w:hAnsi="仿宋" w:eastAsia="仿宋" w:cs="仿宋"/>
          <w:sz w:val="24"/>
          <w:szCs w:val="24"/>
          <w:highlight w:val="none"/>
        </w:rPr>
        <w:t>成片时长：每部时长</w:t>
      </w:r>
      <w:r>
        <w:rPr>
          <w:rFonts w:hint="eastAsia" w:ascii="仿宋" w:hAnsi="仿宋" w:eastAsia="仿宋" w:cs="仿宋"/>
          <w:sz w:val="24"/>
          <w:szCs w:val="24"/>
          <w:highlight w:val="none"/>
        </w:rPr>
        <w:t>不超过10</w:t>
      </w:r>
      <w:r>
        <w:rPr>
          <w:rFonts w:ascii="仿宋" w:hAnsi="仿宋" w:eastAsia="仿宋" w:cs="仿宋"/>
          <w:sz w:val="24"/>
          <w:szCs w:val="24"/>
          <w:highlight w:val="none"/>
        </w:rPr>
        <w:t>分钟</w:t>
      </w:r>
      <w:r>
        <w:rPr>
          <w:rFonts w:hint="eastAsia" w:ascii="仿宋" w:hAnsi="仿宋" w:eastAsia="仿宋" w:cs="仿宋"/>
          <w:sz w:val="24"/>
          <w:szCs w:val="24"/>
          <w:highlight w:val="none"/>
        </w:rPr>
        <w:t>。</w:t>
      </w:r>
    </w:p>
    <w:p w14:paraId="00EE6F18">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ascii="仿宋" w:hAnsi="仿宋" w:eastAsia="仿宋" w:cs="仿宋"/>
          <w:sz w:val="24"/>
          <w:szCs w:val="24"/>
          <w:highlight w:val="none"/>
        </w:rPr>
        <w:t>拍摄</w:t>
      </w:r>
      <w:r>
        <w:rPr>
          <w:rFonts w:hint="eastAsia" w:ascii="仿宋" w:hAnsi="仿宋" w:eastAsia="仿宋" w:cs="仿宋"/>
          <w:sz w:val="24"/>
          <w:szCs w:val="24"/>
          <w:highlight w:val="none"/>
        </w:rPr>
        <w:t>及后期制作</w:t>
      </w:r>
      <w:r>
        <w:rPr>
          <w:rFonts w:ascii="仿宋" w:hAnsi="仿宋" w:eastAsia="仿宋" w:cs="仿宋"/>
          <w:sz w:val="24"/>
          <w:szCs w:val="24"/>
          <w:highlight w:val="none"/>
        </w:rPr>
        <w:t>设备：4k主摄影机、辅助摄影机、镜头组、无人机、移动轨道、摇臂、录音器材、灯光等设备</w:t>
      </w:r>
      <w:r>
        <w:rPr>
          <w:rFonts w:hint="eastAsia" w:ascii="仿宋" w:hAnsi="仿宋" w:eastAsia="仿宋" w:cs="仿宋"/>
          <w:sz w:val="24"/>
          <w:szCs w:val="24"/>
          <w:highlight w:val="none"/>
        </w:rPr>
        <w:t>，拍摄设备不低于电影机艾丽莎mini，灯光设备不低于8套（如爱图仕2400），轨道等辅助拍摄设备。</w:t>
      </w:r>
      <w:r>
        <w:rPr>
          <w:rFonts w:ascii="仿宋" w:hAnsi="仿宋" w:eastAsia="仿宋" w:cs="仿宋"/>
          <w:sz w:val="24"/>
          <w:szCs w:val="24"/>
          <w:highlight w:val="none"/>
        </w:rPr>
        <w:t>配套高清后期制作设备，</w:t>
      </w:r>
      <w:r>
        <w:rPr>
          <w:rFonts w:hint="eastAsia" w:ascii="仿宋" w:hAnsi="仿宋" w:eastAsia="仿宋" w:cs="仿宋"/>
          <w:sz w:val="24"/>
          <w:szCs w:val="24"/>
          <w:highlight w:val="none"/>
        </w:rPr>
        <w:t>例如达芬奇调色系统。</w:t>
      </w:r>
    </w:p>
    <w:p w14:paraId="09B27510">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策划要求</w:t>
      </w:r>
      <w:r>
        <w:rPr>
          <w:rFonts w:hint="eastAsia" w:ascii="仿宋" w:hAnsi="仿宋" w:eastAsia="仿宋" w:cs="仿宋"/>
          <w:sz w:val="24"/>
          <w:szCs w:val="24"/>
          <w:highlight w:val="none"/>
        </w:rPr>
        <w:t>：</w:t>
      </w:r>
      <w:r>
        <w:rPr>
          <w:rFonts w:ascii="仿宋" w:hAnsi="仿宋" w:eastAsia="仿宋" w:cs="仿宋"/>
          <w:sz w:val="24"/>
          <w:szCs w:val="24"/>
          <w:highlight w:val="none"/>
        </w:rPr>
        <w:t>宣传片的策划方案要详细、完整，通过文字和图片阐述出制作思路，并契合</w:t>
      </w:r>
      <w:r>
        <w:rPr>
          <w:rFonts w:hint="eastAsia" w:ascii="仿宋" w:hAnsi="仿宋" w:eastAsia="仿宋" w:cs="仿宋"/>
          <w:sz w:val="24"/>
          <w:szCs w:val="24"/>
          <w:highlight w:val="none"/>
        </w:rPr>
        <w:t>每条河流的</w:t>
      </w:r>
      <w:r>
        <w:rPr>
          <w:rFonts w:ascii="仿宋" w:hAnsi="仿宋" w:eastAsia="仿宋" w:cs="仿宋"/>
          <w:sz w:val="24"/>
          <w:szCs w:val="24"/>
          <w:highlight w:val="none"/>
        </w:rPr>
        <w:t>主题。</w:t>
      </w:r>
    </w:p>
    <w:p w14:paraId="7EA6359E">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ascii="仿宋" w:hAnsi="仿宋" w:eastAsia="仿宋" w:cs="仿宋"/>
          <w:sz w:val="24"/>
          <w:szCs w:val="24"/>
          <w:highlight w:val="none"/>
        </w:rPr>
        <w:t>摄制要求</w:t>
      </w:r>
      <w:r>
        <w:rPr>
          <w:rFonts w:hint="eastAsia" w:ascii="仿宋" w:hAnsi="仿宋" w:eastAsia="仿宋" w:cs="仿宋"/>
          <w:sz w:val="24"/>
          <w:szCs w:val="24"/>
          <w:highlight w:val="none"/>
        </w:rPr>
        <w:t>：</w:t>
      </w:r>
      <w:r>
        <w:rPr>
          <w:rFonts w:ascii="仿宋" w:hAnsi="仿宋" w:eastAsia="仿宋" w:cs="仿宋"/>
          <w:sz w:val="24"/>
          <w:szCs w:val="24"/>
          <w:highlight w:val="none"/>
        </w:rPr>
        <w:t>全片具有艺术性和感染力，要求主题鲜明、线索清晰完整、节奏连贯顺畅。画面干净通透，平稳柔顺，可适当加入航拍、移动、升降格等非常规画面。宣传片的拍摄和制作应采用专业4K摄像机、航拍飞行器、移动延时设备</w:t>
      </w:r>
      <w:r>
        <w:rPr>
          <w:rFonts w:hint="eastAsia" w:ascii="仿宋" w:hAnsi="仿宋" w:eastAsia="仿宋" w:cs="仿宋"/>
          <w:sz w:val="24"/>
          <w:szCs w:val="24"/>
          <w:highlight w:val="none"/>
        </w:rPr>
        <w:t>，</w:t>
      </w:r>
      <w:r>
        <w:rPr>
          <w:rFonts w:ascii="仿宋" w:hAnsi="仿宋" w:eastAsia="仿宋" w:cs="仿宋"/>
          <w:sz w:val="24"/>
          <w:szCs w:val="24"/>
          <w:highlight w:val="none"/>
        </w:rPr>
        <w:t>呈现精美、富有冲击力的画面。</w:t>
      </w:r>
    </w:p>
    <w:p w14:paraId="08BA1B74">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ascii="仿宋" w:hAnsi="仿宋" w:eastAsia="仿宋" w:cs="仿宋"/>
          <w:sz w:val="24"/>
          <w:szCs w:val="24"/>
          <w:highlight w:val="none"/>
        </w:rPr>
        <w:t>制作团队</w:t>
      </w:r>
      <w:r>
        <w:rPr>
          <w:rFonts w:hint="eastAsia" w:ascii="仿宋" w:hAnsi="仿宋" w:eastAsia="仿宋" w:cs="仿宋"/>
          <w:sz w:val="24"/>
          <w:szCs w:val="24"/>
          <w:highlight w:val="none"/>
        </w:rPr>
        <w:t>要求：具有项目负责人、导演、制片、</w:t>
      </w:r>
      <w:r>
        <w:rPr>
          <w:rFonts w:hint="eastAsia" w:ascii="仿宋" w:hAnsi="仿宋" w:eastAsia="仿宋" w:cs="仿宋"/>
          <w:color w:val="auto"/>
          <w:kern w:val="0"/>
          <w:sz w:val="24"/>
          <w:szCs w:val="24"/>
          <w:highlight w:val="none"/>
        </w:rPr>
        <w:t>文案(编辑)策划</w:t>
      </w:r>
      <w:r>
        <w:rPr>
          <w:rFonts w:hint="eastAsia" w:ascii="仿宋" w:hAnsi="仿宋" w:eastAsia="仿宋" w:cs="仿宋"/>
          <w:sz w:val="24"/>
          <w:szCs w:val="24"/>
          <w:highlight w:val="none"/>
        </w:rPr>
        <w:t>、航拍、</w:t>
      </w:r>
      <w:r>
        <w:rPr>
          <w:rFonts w:hint="eastAsia" w:ascii="仿宋" w:hAnsi="仿宋" w:eastAsia="仿宋" w:cs="仿宋"/>
          <w:color w:val="auto"/>
          <w:kern w:val="0"/>
          <w:sz w:val="24"/>
          <w:szCs w:val="24"/>
          <w:highlight w:val="none"/>
        </w:rPr>
        <w:t>摄像</w:t>
      </w:r>
      <w:r>
        <w:rPr>
          <w:rFonts w:hint="eastAsia" w:ascii="仿宋" w:hAnsi="仿宋" w:eastAsia="仿宋" w:cs="仿宋"/>
          <w:sz w:val="24"/>
          <w:szCs w:val="24"/>
          <w:highlight w:val="none"/>
        </w:rPr>
        <w:t>、美术、后期制作</w:t>
      </w:r>
      <w:r>
        <w:rPr>
          <w:rFonts w:hint="eastAsia" w:ascii="仿宋" w:hAnsi="仿宋" w:eastAsia="仿宋" w:cs="仿宋"/>
          <w:sz w:val="24"/>
          <w:szCs w:val="24"/>
          <w:highlight w:val="none"/>
          <w:lang w:eastAsia="zh-CN"/>
        </w:rPr>
        <w:t>（</w:t>
      </w:r>
      <w:r>
        <w:rPr>
          <w:rFonts w:hint="eastAsia" w:ascii="仿宋" w:hAnsi="仿宋" w:eastAsia="仿宋" w:cs="仿宋"/>
          <w:color w:val="auto"/>
          <w:kern w:val="0"/>
          <w:sz w:val="24"/>
          <w:szCs w:val="24"/>
          <w:highlight w:val="none"/>
        </w:rPr>
        <w:t>剪辑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等人员，总人数不低于8人，</w:t>
      </w:r>
      <w:r>
        <w:rPr>
          <w:rFonts w:hint="eastAsia" w:ascii="仿宋" w:hAnsi="仿宋" w:eastAsia="仿宋" w:cs="仿宋"/>
          <w:color w:val="000000"/>
          <w:sz w:val="24"/>
          <w:szCs w:val="24"/>
          <w:highlight w:val="none"/>
        </w:rPr>
        <w:t>团队人员不得相互兼职多岗位，</w:t>
      </w:r>
      <w:r>
        <w:rPr>
          <w:rFonts w:hint="eastAsia" w:ascii="仿宋" w:hAnsi="仿宋" w:eastAsia="仿宋" w:cs="仿宋"/>
          <w:sz w:val="24"/>
          <w:szCs w:val="24"/>
          <w:highlight w:val="none"/>
        </w:rPr>
        <w:t>拍摄周期一次6-8天。</w:t>
      </w:r>
    </w:p>
    <w:p w14:paraId="4B5B7A94">
      <w:pPr>
        <w:adjustRightInd w:val="0"/>
        <w:snapToGrid w:val="0"/>
        <w:spacing w:line="312"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（7）成果要求：提供所摄制的全部影像素材(含实拍镜头)、方案脚本，并将宣传片成品制作成DVD或U盘，成品需达到省级媒体播出要求。</w:t>
      </w:r>
    </w:p>
    <w:p w14:paraId="615A1BED">
      <w:pPr>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3、供应商应结合本项目采购需求编制</w:t>
      </w:r>
      <w:r>
        <w:rPr>
          <w:rFonts w:hint="eastAsia" w:ascii="仿宋" w:hAnsi="仿宋" w:eastAsia="仿宋" w:cs="仿宋"/>
          <w:sz w:val="24"/>
          <w:szCs w:val="24"/>
          <w:highlight w:val="none"/>
        </w:rPr>
        <w:t>需求分析方案</w:t>
      </w:r>
      <w:r>
        <w:rPr>
          <w:rFonts w:hint="eastAsia" w:ascii="仿宋" w:hAnsi="仿宋" w:eastAsia="仿宋" w:cs="仿宋"/>
          <w:bCs/>
          <w:sz w:val="24"/>
          <w:szCs w:val="24"/>
          <w:highlight w:val="none"/>
        </w:rPr>
        <w:t>，包括</w:t>
      </w:r>
      <w:r>
        <w:rPr>
          <w:rFonts w:hint="eastAsia" w:ascii="仿宋" w:hAnsi="仿宋" w:eastAsia="仿宋" w:cs="仿宋"/>
          <w:sz w:val="24"/>
          <w:szCs w:val="24"/>
          <w:highlight w:val="none"/>
        </w:rPr>
        <w:t>①项目内容及问题识别；②项目重点难点分析。</w:t>
      </w:r>
    </w:p>
    <w:p w14:paraId="20BDDD79">
      <w:pPr>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4、供应商应结合本项目采购需求编制</w:t>
      </w:r>
      <w:r>
        <w:rPr>
          <w:rFonts w:hint="eastAsia" w:ascii="仿宋" w:hAnsi="仿宋" w:eastAsia="仿宋" w:cs="仿宋"/>
          <w:kern w:val="0"/>
          <w:sz w:val="24"/>
          <w:szCs w:val="24"/>
          <w:highlight w:val="none"/>
        </w:rPr>
        <w:t>实施方案</w:t>
      </w:r>
      <w:r>
        <w:rPr>
          <w:rFonts w:hint="eastAsia" w:ascii="仿宋" w:hAnsi="仿宋" w:eastAsia="仿宋" w:cs="仿宋"/>
          <w:bCs/>
          <w:sz w:val="24"/>
          <w:szCs w:val="24"/>
          <w:highlight w:val="none"/>
        </w:rPr>
        <w:t>，包括①视频内容设计方案；②工作计划安排；③人员职责分工；④项目进度控制方案；⑤应急处理方案；⑥后期服务保障措施。</w:t>
      </w:r>
    </w:p>
    <w:p w14:paraId="6138FD18">
      <w:pPr>
        <w:adjustRightInd w:val="0"/>
        <w:snapToGrid w:val="0"/>
        <w:spacing w:line="312"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5、供应商应结合本项目采购需求编制</w:t>
      </w:r>
      <w:r>
        <w:rPr>
          <w:rFonts w:hint="eastAsia" w:ascii="仿宋" w:hAnsi="仿宋" w:eastAsia="仿宋" w:cs="仿宋"/>
          <w:kern w:val="0"/>
          <w:sz w:val="24"/>
          <w:szCs w:val="24"/>
          <w:highlight w:val="none"/>
        </w:rPr>
        <w:t>拍摄制作设计方案</w:t>
      </w:r>
      <w:r>
        <w:rPr>
          <w:rFonts w:hint="eastAsia" w:ascii="仿宋" w:hAnsi="仿宋" w:eastAsia="仿宋" w:cs="仿宋"/>
          <w:bCs/>
          <w:sz w:val="24"/>
          <w:szCs w:val="24"/>
          <w:highlight w:val="none"/>
        </w:rPr>
        <w:t>包括：①拍摄创意；②脚本编撰（主题体现、风格展示、逻辑分析、表现手法、视角体现、拍摄剪辑）；③后期制作；④设备保障内容。</w:t>
      </w:r>
    </w:p>
    <w:p w14:paraId="0E8FFE6D">
      <w:pPr>
        <w:snapToGrid w:val="0"/>
        <w:spacing w:line="312" w:lineRule="auto"/>
        <w:ind w:firstLine="281" w:firstLineChars="100"/>
        <w:outlineLvl w:val="1"/>
        <w:rPr>
          <w:rFonts w:hint="eastAsia" w:ascii="仿宋" w:hAnsi="仿宋" w:eastAsia="仿宋" w:cs="仿宋"/>
          <w:b/>
          <w:bCs/>
          <w:kern w:val="44"/>
          <w:sz w:val="28"/>
          <w:szCs w:val="28"/>
          <w:highlight w:val="none"/>
        </w:rPr>
      </w:pPr>
      <w:r>
        <w:rPr>
          <w:rFonts w:hint="eastAsia" w:ascii="仿宋" w:hAnsi="仿宋" w:eastAsia="仿宋" w:cs="仿宋"/>
          <w:b/>
          <w:bCs/>
          <w:kern w:val="44"/>
          <w:sz w:val="28"/>
          <w:szCs w:val="28"/>
          <w:highlight w:val="none"/>
        </w:rPr>
        <w:t>（二）商务要求</w:t>
      </w:r>
    </w:p>
    <w:p w14:paraId="21C3B1D8">
      <w:pPr>
        <w:snapToGrid w:val="0"/>
        <w:spacing w:line="312" w:lineRule="auto"/>
        <w:ind w:firstLine="482" w:firstLineChars="200"/>
        <w:rPr>
          <w:rFonts w:ascii="仿宋" w:hAnsi="仿宋" w:eastAsia="仿宋" w:cs="仿宋"/>
          <w:b/>
          <w:bCs/>
          <w:kern w:val="44"/>
          <w:sz w:val="24"/>
          <w:highlight w:val="none"/>
        </w:rPr>
      </w:pPr>
      <w:r>
        <w:rPr>
          <w:rFonts w:hint="eastAsia" w:ascii="仿宋" w:hAnsi="仿宋" w:eastAsia="仿宋" w:cs="仿宋"/>
          <w:b/>
          <w:sz w:val="24"/>
          <w:highlight w:val="none"/>
        </w:rPr>
        <w:t>★</w:t>
      </w:r>
      <w:r>
        <w:rPr>
          <w:rFonts w:hint="eastAsia" w:ascii="仿宋" w:hAnsi="仿宋" w:eastAsia="仿宋" w:cs="仿宋"/>
          <w:b/>
          <w:bCs/>
          <w:kern w:val="44"/>
          <w:sz w:val="24"/>
          <w:highlight w:val="none"/>
        </w:rPr>
        <w:t>1、服务时间及服务地点</w:t>
      </w:r>
    </w:p>
    <w:p w14:paraId="3ED9BB8E">
      <w:pPr>
        <w:snapToGrid w:val="0"/>
        <w:spacing w:line="312" w:lineRule="auto"/>
        <w:ind w:firstLine="482" w:firstLineChars="200"/>
        <w:rPr>
          <w:rFonts w:hint="eastAsia" w:ascii="仿宋" w:hAnsi="仿宋" w:eastAsia="仿宋" w:cs="仿宋"/>
          <w:b/>
          <w:bCs/>
          <w:color w:val="auto"/>
          <w:kern w:val="44"/>
          <w:sz w:val="24"/>
          <w:highlight w:val="none"/>
        </w:rPr>
      </w:pPr>
      <w:r>
        <w:rPr>
          <w:rFonts w:hint="eastAsia" w:ascii="仿宋" w:hAnsi="仿宋" w:eastAsia="仿宋" w:cs="仿宋"/>
          <w:b/>
          <w:bCs/>
          <w:kern w:val="44"/>
          <w:sz w:val="24"/>
          <w:highlight w:val="none"/>
        </w:rPr>
        <w:t>（1）服务时间：</w:t>
      </w:r>
      <w:r>
        <w:rPr>
          <w:rFonts w:hint="eastAsia" w:ascii="仿宋" w:hAnsi="仿宋" w:eastAsia="仿宋" w:cs="仿宋"/>
          <w:kern w:val="44"/>
          <w:sz w:val="24"/>
          <w:highlight w:val="none"/>
        </w:rPr>
        <w:t>合同签订</w:t>
      </w:r>
      <w:r>
        <w:rPr>
          <w:rFonts w:hint="eastAsia" w:ascii="仿宋" w:hAnsi="仿宋" w:eastAsia="仿宋" w:cs="仿宋"/>
          <w:color w:val="auto"/>
          <w:kern w:val="44"/>
          <w:sz w:val="24"/>
          <w:highlight w:val="none"/>
        </w:rPr>
        <w:t>起至2026年12月31日。</w:t>
      </w:r>
    </w:p>
    <w:p w14:paraId="735356B4">
      <w:pPr>
        <w:snapToGrid w:val="0"/>
        <w:spacing w:line="312" w:lineRule="auto"/>
        <w:ind w:firstLine="482" w:firstLineChars="200"/>
        <w:rPr>
          <w:rFonts w:hint="eastAsia" w:ascii="仿宋" w:hAnsi="仿宋" w:eastAsia="仿宋" w:cs="仿宋"/>
          <w:kern w:val="44"/>
          <w:sz w:val="24"/>
          <w:highlight w:val="none"/>
        </w:rPr>
      </w:pPr>
      <w:bookmarkStart w:id="3" w:name="_Toc19001"/>
      <w:bookmarkStart w:id="4" w:name="_Toc8034"/>
      <w:bookmarkStart w:id="5" w:name="_Toc4272"/>
      <w:bookmarkStart w:id="6" w:name="_Toc16574"/>
      <w:bookmarkStart w:id="7" w:name="_Toc8056"/>
      <w:bookmarkStart w:id="8" w:name="_Toc25580"/>
      <w:bookmarkStart w:id="9" w:name="_Toc15573"/>
      <w:bookmarkStart w:id="10" w:name="_Toc26434"/>
      <w:bookmarkStart w:id="11" w:name="_Toc26914"/>
      <w:bookmarkStart w:id="12" w:name="_Toc25498"/>
      <w:r>
        <w:rPr>
          <w:rFonts w:hint="eastAsia" w:ascii="仿宋" w:hAnsi="仿宋" w:eastAsia="仿宋" w:cs="仿宋"/>
          <w:b/>
          <w:sz w:val="24"/>
          <w:highlight w:val="none"/>
        </w:rPr>
        <w:t>（2）</w:t>
      </w:r>
      <w:r>
        <w:rPr>
          <w:rFonts w:hint="eastAsia" w:ascii="仿宋" w:hAnsi="仿宋" w:eastAsia="仿宋" w:cs="仿宋"/>
          <w:b/>
          <w:bCs/>
          <w:kern w:val="44"/>
          <w:sz w:val="24"/>
          <w:highlight w:val="none"/>
        </w:rPr>
        <w:t>服务地点：</w:t>
      </w:r>
      <w:r>
        <w:rPr>
          <w:rFonts w:hint="eastAsia" w:ascii="仿宋" w:hAnsi="仿宋" w:eastAsia="仿宋" w:cs="仿宋"/>
          <w:kern w:val="44"/>
          <w:sz w:val="24"/>
          <w:highlight w:val="none"/>
        </w:rPr>
        <w:t>采购人指定地点。</w:t>
      </w:r>
    </w:p>
    <w:p w14:paraId="36233366">
      <w:pPr>
        <w:snapToGrid w:val="0"/>
        <w:spacing w:line="312" w:lineRule="auto"/>
        <w:ind w:firstLine="482" w:firstLineChars="200"/>
        <w:rPr>
          <w:rFonts w:hint="eastAsia" w:ascii="仿宋" w:hAnsi="仿宋" w:eastAsia="仿宋" w:cs="仿宋"/>
          <w:kern w:val="0"/>
          <w:sz w:val="24"/>
          <w:highlight w:val="none"/>
        </w:rPr>
      </w:pPr>
      <w:r>
        <w:rPr>
          <w:rFonts w:hint="eastAsia" w:ascii="仿宋" w:hAnsi="仿宋" w:eastAsia="仿宋" w:cs="仿宋"/>
          <w:b/>
          <w:sz w:val="24"/>
          <w:highlight w:val="none"/>
        </w:rPr>
        <w:t>★</w:t>
      </w:r>
      <w:r>
        <w:rPr>
          <w:rFonts w:hint="eastAsia" w:ascii="仿宋" w:hAnsi="仿宋" w:eastAsia="仿宋" w:cs="仿宋"/>
          <w:b/>
          <w:bCs/>
          <w:kern w:val="0"/>
          <w:sz w:val="24"/>
          <w:highlight w:val="none"/>
        </w:rPr>
        <w:t>2、支付方式：</w:t>
      </w:r>
      <w:r>
        <w:rPr>
          <w:rFonts w:hint="eastAsia" w:ascii="仿宋" w:hAnsi="仿宋" w:eastAsia="仿宋" w:cs="仿宋"/>
          <w:kern w:val="0"/>
          <w:sz w:val="24"/>
          <w:highlight w:val="none"/>
        </w:rPr>
        <w:t>分期付清。</w:t>
      </w:r>
    </w:p>
    <w:p w14:paraId="31988687">
      <w:pPr>
        <w:snapToGrid w:val="0"/>
        <w:spacing w:line="312" w:lineRule="auto"/>
        <w:ind w:firstLine="482" w:firstLineChars="200"/>
        <w:rPr>
          <w:rFonts w:hint="eastAsia" w:ascii="仿宋" w:hAnsi="仿宋" w:eastAsia="仿宋" w:cs="仿宋"/>
          <w:bCs/>
          <w:kern w:val="0"/>
          <w:sz w:val="24"/>
          <w:highlight w:val="none"/>
        </w:rPr>
      </w:pPr>
      <w:r>
        <w:rPr>
          <w:rFonts w:hint="eastAsia" w:ascii="仿宋" w:hAnsi="仿宋" w:eastAsia="仿宋" w:cs="仿宋"/>
          <w:b/>
          <w:sz w:val="24"/>
          <w:highlight w:val="none"/>
        </w:rPr>
        <w:t>★</w:t>
      </w:r>
      <w:r>
        <w:rPr>
          <w:rFonts w:hint="eastAsia" w:ascii="仿宋" w:hAnsi="仿宋" w:eastAsia="仿宋" w:cs="仿宋"/>
          <w:b/>
          <w:kern w:val="0"/>
          <w:sz w:val="24"/>
          <w:highlight w:val="none"/>
        </w:rPr>
        <w:t>3、支付约定</w:t>
      </w:r>
      <w:r>
        <w:rPr>
          <w:rFonts w:hint="eastAsia" w:ascii="仿宋" w:hAnsi="仿宋" w:eastAsia="仿宋" w:cs="仿宋"/>
          <w:bCs/>
          <w:kern w:val="0"/>
          <w:sz w:val="24"/>
          <w:highlight w:val="none"/>
        </w:rPr>
        <w:t>：合同签订后，成交人向采购人提供支付凭证资料后，15日内支付60%的合同款项；项目实施完毕并验收合格，成交人向采购人提供支付凭证资料后15日内支付剩余40%的合同款项。</w:t>
      </w:r>
    </w:p>
    <w:p w14:paraId="5522C470">
      <w:pPr>
        <w:snapToGrid w:val="0"/>
        <w:spacing w:line="312" w:lineRule="auto"/>
        <w:ind w:firstLine="482" w:firstLineChars="200"/>
        <w:rPr>
          <w:rFonts w:hint="eastAsia" w:ascii="仿宋" w:hAnsi="仿宋" w:eastAsia="仿宋" w:cs="仿宋"/>
          <w:kern w:val="44"/>
          <w:sz w:val="24"/>
          <w:highlight w:val="none"/>
        </w:rPr>
      </w:pPr>
      <w:r>
        <w:rPr>
          <w:rFonts w:hint="eastAsia" w:ascii="仿宋" w:hAnsi="仿宋" w:eastAsia="仿宋" w:cs="仿宋"/>
          <w:b/>
          <w:sz w:val="24"/>
          <w:highlight w:val="none"/>
        </w:rPr>
        <w:t>★4</w:t>
      </w:r>
      <w:r>
        <w:rPr>
          <w:rFonts w:hint="eastAsia" w:ascii="仿宋" w:hAnsi="仿宋" w:eastAsia="仿宋" w:cs="仿宋"/>
          <w:b/>
          <w:bCs/>
          <w:kern w:val="44"/>
          <w:sz w:val="24"/>
          <w:highlight w:val="none"/>
        </w:rPr>
        <w:t>、合同价款：</w:t>
      </w:r>
      <w:r>
        <w:rPr>
          <w:rFonts w:hint="eastAsia" w:ascii="仿宋" w:hAnsi="仿宋" w:eastAsia="仿宋" w:cs="仿宋"/>
          <w:kern w:val="44"/>
          <w:sz w:val="24"/>
          <w:highlight w:val="none"/>
        </w:rPr>
        <w:t>报价应是完成本项目所有采购内容和磋商文件规定的全部费用。</w:t>
      </w:r>
      <w:bookmarkStart w:id="13" w:name="_Toc32743"/>
      <w:bookmarkStart w:id="14" w:name="_Toc28829"/>
    </w:p>
    <w:p w14:paraId="365B10FC">
      <w:pPr>
        <w:snapToGrid w:val="0"/>
        <w:spacing w:line="312" w:lineRule="auto"/>
        <w:ind w:firstLine="482" w:firstLineChars="200"/>
        <w:rPr>
          <w:rFonts w:hint="eastAsia" w:ascii="仿宋" w:hAnsi="仿宋" w:eastAsia="仿宋" w:cs="仿宋"/>
          <w:b/>
          <w:bCs/>
          <w:kern w:val="0"/>
          <w:sz w:val="24"/>
          <w:highlight w:val="none"/>
        </w:rPr>
      </w:pPr>
      <w:r>
        <w:rPr>
          <w:rFonts w:hint="eastAsia" w:ascii="仿宋" w:hAnsi="仿宋" w:eastAsia="仿宋" w:cs="仿宋"/>
          <w:b/>
          <w:sz w:val="24"/>
          <w:highlight w:val="none"/>
        </w:rPr>
        <w:t>★</w:t>
      </w:r>
      <w:r>
        <w:rPr>
          <w:rFonts w:hint="eastAsia" w:ascii="仿宋" w:hAnsi="仿宋" w:eastAsia="仿宋" w:cs="仿宋"/>
          <w:b/>
          <w:bCs/>
          <w:kern w:val="0"/>
          <w:sz w:val="24"/>
          <w:highlight w:val="none"/>
        </w:rPr>
        <w:t>5、</w:t>
      </w:r>
      <w:bookmarkEnd w:id="13"/>
      <w:bookmarkEnd w:id="14"/>
      <w:bookmarkStart w:id="15" w:name="_Toc821"/>
      <w:bookmarkStart w:id="16" w:name="_Toc13673"/>
      <w:r>
        <w:rPr>
          <w:rFonts w:hint="eastAsia" w:ascii="仿宋" w:hAnsi="仿宋" w:eastAsia="仿宋" w:cs="仿宋"/>
          <w:b/>
          <w:bCs/>
          <w:kern w:val="0"/>
          <w:sz w:val="24"/>
          <w:highlight w:val="none"/>
        </w:rPr>
        <w:t>验收标准和方法：</w:t>
      </w:r>
    </w:p>
    <w:p w14:paraId="7992A9A4">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 xml:space="preserve">1）验收组织方式：采购人自行验收 </w:t>
      </w:r>
    </w:p>
    <w:p w14:paraId="5F269A08">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2）是否邀请本项目的其他供应商：</w:t>
      </w:r>
      <w:r>
        <w:rPr>
          <w:rFonts w:hint="eastAsia" w:ascii="仿宋" w:hAnsi="仿宋" w:eastAsia="仿宋" w:cs="仿宋"/>
          <w:sz w:val="24"/>
          <w:highlight w:val="none"/>
        </w:rPr>
        <w:t>□是  ☑否</w:t>
      </w:r>
    </w:p>
    <w:p w14:paraId="391592B1">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3）是否邀请专家：</w:t>
      </w:r>
      <w:r>
        <w:rPr>
          <w:rFonts w:hint="eastAsia" w:ascii="仿宋" w:hAnsi="仿宋" w:eastAsia="仿宋" w:cs="仿宋"/>
          <w:sz w:val="24"/>
          <w:highlight w:val="none"/>
        </w:rPr>
        <w:t>□是  ☑否</w:t>
      </w:r>
    </w:p>
    <w:p w14:paraId="221AE243">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4）是否邀请服务对象：</w:t>
      </w:r>
      <w:r>
        <w:rPr>
          <w:rFonts w:hint="eastAsia" w:ascii="仿宋" w:hAnsi="仿宋" w:eastAsia="仿宋" w:cs="仿宋"/>
          <w:sz w:val="24"/>
          <w:highlight w:val="none"/>
        </w:rPr>
        <w:t>□是  ☑否</w:t>
      </w:r>
    </w:p>
    <w:p w14:paraId="341D7056">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5）是否邀请第三方检测机构：</w:t>
      </w:r>
      <w:r>
        <w:rPr>
          <w:rFonts w:hint="eastAsia" w:ascii="仿宋" w:hAnsi="仿宋" w:eastAsia="仿宋" w:cs="仿宋"/>
          <w:sz w:val="24"/>
          <w:highlight w:val="none"/>
        </w:rPr>
        <w:t>□是  ☑否</w:t>
      </w:r>
    </w:p>
    <w:p w14:paraId="3E76D19D">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6）履约验收程序：一次性验收</w:t>
      </w:r>
    </w:p>
    <w:p w14:paraId="55D2D449">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 xml:space="preserve">7）履约验收时间：成交人提出验收申请之日起15日内组织验收 </w:t>
      </w:r>
    </w:p>
    <w:p w14:paraId="2A40D2A9">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 xml:space="preserve">8）验收组织的其他事项：无 </w:t>
      </w:r>
    </w:p>
    <w:p w14:paraId="6704829F">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 xml:space="preserve">9）技术履约验收内容：按照本项目采购文件中“技术、服务要求”及成交人响应文件进行验收。 </w:t>
      </w:r>
    </w:p>
    <w:p w14:paraId="3F31F4F1">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 xml:space="preserve">10）商务履约验收内容：按照本项目采购文件中“商务要求”及成交人响应文件进行验收。 </w:t>
      </w:r>
    </w:p>
    <w:p w14:paraId="602B957C">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11）履约验收标准：参照《财政部关于进一步加强政府采购需求和履约验收管理的指导意见》（财库〔2016〕205号）、《政府采购需求管理办法》（财库〔2021〕22号）的要求进行验收。</w:t>
      </w:r>
    </w:p>
    <w:p w14:paraId="49D50CF8">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w:t>
      </w:r>
      <w:r>
        <w:rPr>
          <w:rFonts w:hint="eastAsia" w:ascii="仿宋" w:hAnsi="仿宋" w:eastAsia="仿宋" w:cs="仿宋"/>
          <w:kern w:val="0"/>
          <w:sz w:val="24"/>
          <w:highlight w:val="none"/>
        </w:rPr>
        <w:t>12）履约验收其他事项：无。</w:t>
      </w:r>
    </w:p>
    <w:bookmarkEnd w:id="15"/>
    <w:bookmarkEnd w:id="16"/>
    <w:p w14:paraId="1038C35A">
      <w:pPr>
        <w:snapToGrid w:val="0"/>
        <w:spacing w:line="312"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6、包装方式和运输</w:t>
      </w:r>
      <w:bookmarkEnd w:id="3"/>
      <w:bookmarkEnd w:id="4"/>
      <w:bookmarkEnd w:id="5"/>
    </w:p>
    <w:p w14:paraId="64134BE6">
      <w:pPr>
        <w:snapToGrid w:val="0"/>
        <w:spacing w:line="312" w:lineRule="auto"/>
        <w:ind w:firstLine="482" w:firstLineChars="200"/>
        <w:rPr>
          <w:rFonts w:hint="eastAsia" w:ascii="仿宋" w:hAnsi="仿宋" w:eastAsia="仿宋" w:cs="仿宋"/>
          <w:kern w:val="0"/>
          <w:sz w:val="24"/>
          <w:highlight w:val="none"/>
        </w:rPr>
      </w:pPr>
      <w:bookmarkStart w:id="17" w:name="_Toc23217"/>
      <w:bookmarkStart w:id="18" w:name="_Toc9737"/>
      <w:bookmarkStart w:id="19" w:name="_Toc17036"/>
      <w:bookmarkStart w:id="20" w:name="_Toc31968"/>
      <w:r>
        <w:rPr>
          <w:rFonts w:hint="eastAsia" w:ascii="仿宋" w:hAnsi="仿宋" w:eastAsia="仿宋" w:cs="仿宋"/>
          <w:b/>
          <w:sz w:val="24"/>
          <w:highlight w:val="none"/>
        </w:rPr>
        <w:t>★</w:t>
      </w:r>
      <w:r>
        <w:rPr>
          <w:rFonts w:hint="eastAsia" w:ascii="仿宋" w:hAnsi="仿宋" w:eastAsia="仿宋" w:cs="仿宋"/>
          <w:kern w:val="0"/>
          <w:sz w:val="24"/>
          <w:highlight w:val="none"/>
        </w:rPr>
        <w:t>（1）成交人</w:t>
      </w:r>
      <w:bookmarkEnd w:id="17"/>
      <w:bookmarkEnd w:id="18"/>
      <w:bookmarkEnd w:id="19"/>
      <w:bookmarkEnd w:id="20"/>
      <w:r>
        <w:rPr>
          <w:rFonts w:hint="eastAsia" w:ascii="仿宋" w:hAnsi="仿宋" w:eastAsia="仿宋" w:cs="仿宋"/>
          <w:kern w:val="0"/>
          <w:sz w:val="24"/>
          <w:highlight w:val="none"/>
        </w:rPr>
        <w:t>应符合《商品包装政府采购需求标准（试行）》、《快递包装政府采购需求标准（试行）》（财办库〔2020〕123号）的要求进行产品及相关快递服务的包装。</w:t>
      </w:r>
    </w:p>
    <w:p w14:paraId="062559C9">
      <w:pPr>
        <w:snapToGrid w:val="0"/>
        <w:spacing w:line="312" w:lineRule="auto"/>
        <w:ind w:firstLine="482" w:firstLineChars="200"/>
        <w:rPr>
          <w:rFonts w:hint="eastAsia" w:ascii="仿宋" w:hAnsi="仿宋" w:eastAsia="仿宋" w:cs="仿宋"/>
          <w:b/>
          <w:sz w:val="24"/>
          <w:highlight w:val="none"/>
        </w:rPr>
      </w:pPr>
      <w:bookmarkStart w:id="21" w:name="_Toc1436"/>
      <w:bookmarkStart w:id="22" w:name="_Toc30165"/>
      <w:bookmarkStart w:id="23" w:name="_Toc29648"/>
      <w:r>
        <w:rPr>
          <w:rFonts w:hint="eastAsia" w:ascii="仿宋" w:hAnsi="仿宋" w:eastAsia="仿宋" w:cs="仿宋"/>
          <w:b/>
          <w:sz w:val="24"/>
          <w:highlight w:val="none"/>
        </w:rPr>
        <w:t>7、保险</w:t>
      </w:r>
      <w:bookmarkEnd w:id="6"/>
      <w:bookmarkEnd w:id="7"/>
      <w:bookmarkEnd w:id="8"/>
      <w:bookmarkEnd w:id="9"/>
      <w:bookmarkEnd w:id="10"/>
      <w:bookmarkEnd w:id="11"/>
      <w:bookmarkEnd w:id="12"/>
      <w:bookmarkEnd w:id="21"/>
      <w:bookmarkEnd w:id="22"/>
      <w:bookmarkEnd w:id="23"/>
    </w:p>
    <w:p w14:paraId="7FB5424F">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w:t>
      </w:r>
    </w:p>
    <w:p w14:paraId="194F9F56">
      <w:pPr>
        <w:snapToGrid w:val="0"/>
        <w:spacing w:line="312"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供应商为本项目提供履约的所有人员应依照《中华人民共和国劳动合同法》订立劳动合同，如有退休人员或其他依法不能签订劳动合同的人员应签订劳务合同，并为上述人员购买意外保险，涉及第三者责任的还应当为其购买第三者责任险。</w:t>
      </w:r>
    </w:p>
    <w:p w14:paraId="1526063B">
      <w:pPr>
        <w:pStyle w:val="5"/>
        <w:snapToGrid w:val="0"/>
        <w:spacing w:line="312" w:lineRule="auto"/>
        <w:ind w:firstLine="482" w:firstLineChars="200"/>
        <w:rPr>
          <w:rFonts w:hint="eastAsia" w:ascii="仿宋" w:hAnsi="仿宋" w:eastAsia="仿宋" w:cs="仿宋"/>
          <w:sz w:val="24"/>
          <w:szCs w:val="24"/>
          <w:highlight w:val="none"/>
        </w:rPr>
      </w:pPr>
      <w:bookmarkStart w:id="24" w:name="_Toc8092"/>
      <w:bookmarkStart w:id="25" w:name="_Toc13746"/>
      <w:bookmarkStart w:id="26" w:name="_Toc11570"/>
      <w:bookmarkStart w:id="27" w:name="_Toc20781"/>
      <w:bookmarkStart w:id="28" w:name="_Toc22026"/>
      <w:bookmarkStart w:id="29" w:name="_Toc32726"/>
      <w:bookmarkStart w:id="30" w:name="_Toc12073"/>
      <w:bookmarkStart w:id="31" w:name="_Toc14685"/>
      <w:bookmarkStart w:id="32" w:name="_Toc2218"/>
      <w:bookmarkStart w:id="33" w:name="_Toc27313"/>
      <w:bookmarkStart w:id="34" w:name="_Toc13362"/>
      <w:bookmarkStart w:id="35" w:name="_Toc32286_WPSOffice_Level2"/>
      <w:bookmarkStart w:id="36" w:name="_Toc14109"/>
      <w:r>
        <w:rPr>
          <w:rFonts w:hint="eastAsia" w:ascii="仿宋" w:hAnsi="仿宋" w:eastAsia="仿宋" w:cs="仿宋"/>
          <w:b/>
          <w:sz w:val="24"/>
          <w:highlight w:val="none"/>
        </w:rPr>
        <w:t>★8、知识产权归属和处理方式：</w:t>
      </w:r>
      <w:r>
        <w:rPr>
          <w:rFonts w:hint="eastAsia" w:ascii="仿宋" w:hAnsi="仿宋" w:eastAsia="仿宋" w:cs="仿宋"/>
          <w:sz w:val="24"/>
          <w:szCs w:val="24"/>
          <w:highlight w:val="none"/>
        </w:rPr>
        <w:t>采购人享有本项目实施过程中产生的知识成果及知识产权。</w:t>
      </w:r>
    </w:p>
    <w:p w14:paraId="4960EE22">
      <w:pPr>
        <w:snapToGrid w:val="0"/>
        <w:spacing w:line="312" w:lineRule="auto"/>
        <w:ind w:left="479" w:leftChars="228"/>
        <w:rPr>
          <w:rFonts w:hint="eastAsia" w:ascii="仿宋" w:hAnsi="仿宋" w:eastAsia="仿宋" w:cs="仿宋"/>
          <w:b/>
          <w:bCs/>
          <w:sz w:val="24"/>
          <w:highlight w:val="none"/>
        </w:rPr>
      </w:pPr>
      <w:r>
        <w:rPr>
          <w:rFonts w:hint="eastAsia" w:ascii="仿宋" w:hAnsi="仿宋" w:eastAsia="仿宋" w:cs="仿宋"/>
          <w:b/>
          <w:bCs/>
          <w:sz w:val="24"/>
          <w:highlight w:val="none"/>
        </w:rPr>
        <w:t>9、违约责任与解决争议的办法</w:t>
      </w:r>
    </w:p>
    <w:p w14:paraId="6289238C">
      <w:pPr>
        <w:snapToGrid w:val="0"/>
        <w:spacing w:line="312" w:lineRule="auto"/>
        <w:ind w:left="479" w:leftChars="228"/>
        <w:rPr>
          <w:rFonts w:hint="eastAsia" w:ascii="仿宋" w:hAnsi="仿宋" w:eastAsia="仿宋" w:cs="仿宋"/>
          <w:b/>
          <w:bCs/>
          <w:sz w:val="24"/>
          <w:highlight w:val="none"/>
        </w:rPr>
      </w:pPr>
      <w:r>
        <w:rPr>
          <w:rFonts w:hint="eastAsia" w:ascii="仿宋" w:hAnsi="仿宋" w:eastAsia="仿宋" w:cs="仿宋"/>
          <w:b/>
          <w:bCs/>
          <w:sz w:val="24"/>
          <w:highlight w:val="none"/>
        </w:rPr>
        <w:t>（1）违约责任</w:t>
      </w:r>
    </w:p>
    <w:p w14:paraId="1EED7AFC">
      <w:pPr>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1）双方必须遵守采购合同并执行采购合同中的各项规定，保证采购合同的正常履行。</w:t>
      </w:r>
    </w:p>
    <w:p w14:paraId="49E29BE3">
      <w:pPr>
        <w:snapToGrid w:val="0"/>
        <w:spacing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w:t>
      </w:r>
    </w:p>
    <w:p w14:paraId="29A0BA53">
      <w:pPr>
        <w:pStyle w:val="11"/>
        <w:snapToGrid w:val="0"/>
        <w:spacing w:line="312" w:lineRule="auto"/>
        <w:ind w:firstLine="482" w:firstLineChars="200"/>
        <w:jc w:val="both"/>
        <w:rPr>
          <w:rFonts w:hint="eastAsia" w:ascii="仿宋" w:hAnsi="仿宋" w:eastAsia="仿宋" w:cs="仿宋"/>
          <w:b/>
          <w:bCs/>
          <w:highlight w:val="none"/>
        </w:rPr>
      </w:pPr>
      <w:r>
        <w:rPr>
          <w:rFonts w:hint="eastAsia" w:ascii="仿宋" w:hAnsi="仿宋" w:eastAsia="仿宋" w:cs="仿宋"/>
          <w:b/>
          <w:bCs/>
          <w:highlight w:val="none"/>
        </w:rPr>
        <w:t>（2）</w:t>
      </w:r>
      <w:r>
        <w:rPr>
          <w:rFonts w:hint="eastAsia" w:ascii="仿宋" w:hAnsi="仿宋" w:eastAsia="仿宋" w:cs="仿宋"/>
          <w:b/>
          <w:highlight w:val="none"/>
        </w:rPr>
        <w:t>解决争议的办法</w:t>
      </w:r>
    </w:p>
    <w:p w14:paraId="4000B99E">
      <w:pPr>
        <w:pStyle w:val="11"/>
        <w:snapToGrid w:val="0"/>
        <w:spacing w:line="312" w:lineRule="auto"/>
        <w:ind w:firstLine="480" w:firstLineChars="200"/>
        <w:jc w:val="both"/>
        <w:rPr>
          <w:rFonts w:hint="eastAsia" w:ascii="仿宋" w:hAnsi="仿宋" w:eastAsia="仿宋" w:cs="仿宋"/>
          <w:highlight w:val="none"/>
        </w:rPr>
      </w:pPr>
      <w:r>
        <w:rPr>
          <w:rFonts w:hint="eastAsia" w:ascii="仿宋" w:hAnsi="仿宋" w:eastAsia="仿宋" w:cs="仿宋"/>
          <w:highlight w:val="none"/>
        </w:rPr>
        <w:t>合同履行期间,若双方发生争议，可协商或由有关部门调解解决，协商或调解不成的，由当事人依法向采购人所在地有管辖权的法院提起诉讼维护其合法权益。</w:t>
      </w:r>
    </w:p>
    <w:p w14:paraId="1CC20B64">
      <w:pPr>
        <w:snapToGrid w:val="0"/>
        <w:spacing w:line="312"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10、其他要求</w:t>
      </w:r>
      <w:bookmarkEnd w:id="24"/>
      <w:bookmarkEnd w:id="25"/>
      <w:bookmarkEnd w:id="26"/>
      <w:bookmarkEnd w:id="27"/>
      <w:bookmarkEnd w:id="28"/>
      <w:bookmarkEnd w:id="29"/>
      <w:bookmarkEnd w:id="30"/>
      <w:bookmarkEnd w:id="31"/>
      <w:bookmarkEnd w:id="32"/>
      <w:bookmarkEnd w:id="33"/>
      <w:bookmarkEnd w:id="34"/>
      <w:bookmarkEnd w:id="35"/>
      <w:bookmarkEnd w:id="36"/>
    </w:p>
    <w:p w14:paraId="5088D40F">
      <w:pPr>
        <w:pStyle w:val="12"/>
        <w:tabs>
          <w:tab w:val="left" w:pos="0"/>
          <w:tab w:val="left" w:pos="1134"/>
        </w:tabs>
        <w:snapToGrid w:val="0"/>
        <w:spacing w:line="312"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（1）供应商应建立良好的项目实施质量管理、职业健康安全管理以及环境管理体系，保障项目实施质量以及相关人员健康安全和实施环境安全。</w:t>
      </w:r>
    </w:p>
    <w:p w14:paraId="58C461E7">
      <w:pPr>
        <w:pStyle w:val="13"/>
        <w:widowControl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供应商应为本项目配备项目实施相关人员，</w:t>
      </w:r>
      <w:r>
        <w:rPr>
          <w:rFonts w:hint="eastAsia" w:ascii="仿宋" w:hAnsi="仿宋" w:eastAsia="仿宋" w:cs="仿宋"/>
          <w:sz w:val="24"/>
          <w:szCs w:val="24"/>
          <w:highlight w:val="none"/>
        </w:rPr>
        <w:t>采购人在项目执行过程中定期核对供应商提供完成项目所配备的人员数量及相关信息，对于未按照磋商文件及响应文件相关内容执行或存在不合理的部分有权下达整改通知书，并要求供应商限期整改，并根据合同约定的违约情况进行处理。</w:t>
      </w:r>
    </w:p>
    <w:p w14:paraId="362BF4DE">
      <w:pPr>
        <w:pStyle w:val="13"/>
        <w:widowControl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（3）供应商在项目执行过程中定期及时向采购人通告本项目的重大事项及其进度。</w:t>
      </w:r>
    </w:p>
    <w:p w14:paraId="4165D150">
      <w:pPr>
        <w:pStyle w:val="4"/>
        <w:snapToGrid w:val="0"/>
        <w:spacing w:after="0" w:line="312"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（4）接受项目行业管理部门及政府有关部门的指导，接受采购人的监督。</w:t>
      </w:r>
    </w:p>
    <w:bookmarkEnd w:id="1"/>
    <w:p w14:paraId="46744066"/>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018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D6B4E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D6B4E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A642F"/>
    <w:rsid w:val="436A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Cs w:val="24"/>
    </w:rPr>
  </w:style>
  <w:style w:type="paragraph" w:styleId="4">
    <w:name w:val="Body Text"/>
    <w:basedOn w:val="1"/>
    <w:qFormat/>
    <w:uiPriority w:val="0"/>
    <w:pPr>
      <w:spacing w:after="120"/>
    </w:pPr>
    <w:rPr>
      <w:rFonts w:ascii="Times New Roman" w:hAnsi="Times New Roman" w:eastAsia="宋体" w:cs="Times New Roman"/>
      <w:szCs w:val="24"/>
    </w:rPr>
  </w:style>
  <w:style w:type="paragraph" w:styleId="5">
    <w:name w:val="Body Text Indent"/>
    <w:basedOn w:val="1"/>
    <w:next w:val="6"/>
    <w:qFormat/>
    <w:uiPriority w:val="0"/>
    <w:pPr>
      <w:ind w:firstLine="630"/>
    </w:pPr>
    <w:rPr>
      <w:rFonts w:eastAsia="宋体"/>
      <w:sz w:val="32"/>
    </w:rPr>
  </w:style>
  <w:style w:type="paragraph" w:styleId="6">
    <w:name w:val="envelope return"/>
    <w:basedOn w:val="1"/>
    <w:qFormat/>
    <w:uiPriority w:val="99"/>
    <w:pPr>
      <w:snapToGrid w:val="0"/>
    </w:pPr>
    <w:rPr>
      <w:rFonts w:ascii="Arial" w:hAnsi="Arial" w:cs="Arial"/>
      <w:szCs w:val="21"/>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3">
    <w:name w:val="正文（绿盟科技）"/>
    <w:next w:val="1"/>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2026-02-03T10:17:00Z</dcterms:created>
  <dc:creator>admin</dc:creator>
  <cp:lastModifiedBy>admin</cp:lastModifiedBy>
  <dcterms:modified xsi:type="dcterms:W3CDTF">2026-02-03T10:18:13Z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E3E67195C73C4CB284C3D30D7C08D17A_11</vt:lpwstr>
  </property>
  <property fmtid="{D5CDD505-2E9C-101B-9397-08002B2CF9AE}" pid="4" name="KSOTemplateDocerSaveRecord">
    <vt:lpwstr>eyJoZGlkIjoiMjNiNGJiYWRkMGJmMTdjZTEzY2Y3OTgwMDZjMGI0MTEiLCJ1c2VySWQiOiIzOTA3OTIwODQifQ==</vt:lpwstr>
  </property>
</Properties>
</file>