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CD" w:rsidRDefault="005D52CD" w:rsidP="005D52CD">
      <w:pPr>
        <w:widowControl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1</w:t>
      </w:r>
    </w:p>
    <w:p w:rsidR="005D52CD" w:rsidRDefault="005D52CD" w:rsidP="005D52C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比选评分表</w:t>
      </w:r>
    </w:p>
    <w:p w:rsidR="005D52CD" w:rsidRDefault="005D52CD" w:rsidP="005D52CD">
      <w:pPr>
        <w:pStyle w:val="a6"/>
        <w:rPr>
          <w:rFonts w:ascii="Times New Roman" w:hAnsi="Times New Roman"/>
        </w:rPr>
      </w:pPr>
    </w:p>
    <w:tbl>
      <w:tblPr>
        <w:tblStyle w:val="a7"/>
        <w:tblW w:w="10009" w:type="dxa"/>
        <w:jc w:val="center"/>
        <w:tblLook w:val="04A0"/>
      </w:tblPr>
      <w:tblGrid>
        <w:gridCol w:w="1106"/>
        <w:gridCol w:w="1560"/>
        <w:gridCol w:w="1195"/>
        <w:gridCol w:w="4900"/>
        <w:gridCol w:w="1248"/>
      </w:tblGrid>
      <w:tr w:rsidR="005D52CD" w:rsidTr="003B7398">
        <w:trPr>
          <w:cantSplit/>
          <w:trHeight w:val="745"/>
          <w:jc w:val="center"/>
        </w:trPr>
        <w:tc>
          <w:tcPr>
            <w:tcW w:w="1106" w:type="dxa"/>
            <w:vAlign w:val="center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黑体" w:hAnsi="Times New Roman"/>
              </w:rPr>
            </w:pPr>
            <w:r w:rsidRPr="003950C6">
              <w:rPr>
                <w:rFonts w:ascii="Times New Roman" w:eastAsia="黑体" w:hAnsi="黑体" w:hint="eastAsia"/>
              </w:rPr>
              <w:t>比选申请人</w:t>
            </w:r>
          </w:p>
        </w:tc>
        <w:tc>
          <w:tcPr>
            <w:tcW w:w="1560" w:type="dxa"/>
            <w:vAlign w:val="center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黑体" w:hAnsi="Times New Roman"/>
              </w:rPr>
            </w:pPr>
            <w:r w:rsidRPr="003950C6">
              <w:rPr>
                <w:rFonts w:ascii="Times New Roman" w:eastAsia="黑体" w:hAnsi="黑体" w:hint="eastAsia"/>
              </w:rPr>
              <w:t>评审内容</w:t>
            </w:r>
          </w:p>
        </w:tc>
        <w:tc>
          <w:tcPr>
            <w:tcW w:w="1195" w:type="dxa"/>
            <w:vAlign w:val="center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黑体" w:hAnsi="Times New Roman"/>
              </w:rPr>
            </w:pPr>
            <w:r w:rsidRPr="003950C6">
              <w:rPr>
                <w:rFonts w:ascii="Times New Roman" w:eastAsia="黑体" w:hAnsi="黑体" w:hint="eastAsia"/>
              </w:rPr>
              <w:t>标准分</w:t>
            </w:r>
          </w:p>
        </w:tc>
        <w:tc>
          <w:tcPr>
            <w:tcW w:w="4900" w:type="dxa"/>
            <w:vAlign w:val="center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黑体" w:hAnsi="Times New Roman"/>
              </w:rPr>
            </w:pPr>
            <w:r w:rsidRPr="003950C6">
              <w:rPr>
                <w:rFonts w:ascii="Times New Roman" w:eastAsia="黑体" w:hAnsi="黑体" w:hint="eastAsia"/>
              </w:rPr>
              <w:t>评分标准</w:t>
            </w:r>
          </w:p>
        </w:tc>
        <w:tc>
          <w:tcPr>
            <w:tcW w:w="1248" w:type="dxa"/>
            <w:vAlign w:val="center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黑体" w:hAnsi="Times New Roman"/>
              </w:rPr>
            </w:pPr>
            <w:r w:rsidRPr="003950C6">
              <w:rPr>
                <w:rFonts w:ascii="Times New Roman" w:eastAsia="黑体" w:hAnsi="黑体" w:hint="eastAsia"/>
              </w:rPr>
              <w:t>单项得分</w:t>
            </w:r>
          </w:p>
        </w:tc>
      </w:tr>
      <w:tr w:rsidR="005D52CD" w:rsidTr="003B7398">
        <w:trPr>
          <w:cantSplit/>
          <w:trHeight w:val="2399"/>
          <w:jc w:val="center"/>
        </w:trPr>
        <w:tc>
          <w:tcPr>
            <w:tcW w:w="1106" w:type="dxa"/>
            <w:vMerge w:val="restart"/>
          </w:tcPr>
          <w:p w:rsidR="005D52CD" w:rsidRPr="003950C6" w:rsidRDefault="005D52CD" w:rsidP="003B7398">
            <w:pPr>
              <w:keepNext/>
              <w:keepLines/>
              <w:spacing w:before="340" w:after="330" w:line="578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D52CD" w:rsidRPr="003950C6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Theme="minorEastAsia" w:hint="eastAsia"/>
                <w:szCs w:val="21"/>
              </w:rPr>
              <w:t>比选公告中规定的条件相合性</w:t>
            </w:r>
          </w:p>
        </w:tc>
        <w:tc>
          <w:tcPr>
            <w:tcW w:w="1195" w:type="dxa"/>
            <w:vAlign w:val="center"/>
          </w:tcPr>
          <w:p w:rsidR="005D52CD" w:rsidRPr="003950C6" w:rsidRDefault="005D52CD" w:rsidP="003B7398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10</w:t>
            </w:r>
            <w:r>
              <w:rPr>
                <w:rFonts w:ascii="Times New Roman" w:eastAsiaTheme="minorEastAsia" w:hAnsi="Times New Roman" w:hint="eastAsia"/>
                <w:szCs w:val="21"/>
              </w:rPr>
              <w:t>分</w:t>
            </w:r>
          </w:p>
        </w:tc>
        <w:tc>
          <w:tcPr>
            <w:tcW w:w="4900" w:type="dxa"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8-10</w:t>
            </w:r>
            <w:r>
              <w:rPr>
                <w:rFonts w:ascii="Times New Roman" w:eastAsiaTheme="minorEastAsia" w:hAnsiTheme="minorEastAsia" w:hint="eastAsia"/>
                <w:szCs w:val="21"/>
              </w:rPr>
              <w:t>分：按照比选公告要求提供比选材料，符合比选条件；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5-8</w:t>
            </w:r>
            <w:r>
              <w:rPr>
                <w:rFonts w:ascii="Times New Roman" w:eastAsiaTheme="minorEastAsia" w:hAnsiTheme="minorEastAsia" w:hint="eastAsia"/>
                <w:szCs w:val="21"/>
              </w:rPr>
              <w:t>分：基本按照比选材料要求提供比选材料，符合比选条件，提供的材料有缺页，材料不清晰；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Theme="minorEastAsia" w:hint="eastAsia"/>
                <w:szCs w:val="21"/>
              </w:rPr>
              <w:t>＜</w:t>
            </w:r>
            <w:r>
              <w:rPr>
                <w:rFonts w:ascii="Times New Roman" w:eastAsiaTheme="minorEastAsia" w:hAnsi="Times New Roman"/>
                <w:szCs w:val="21"/>
              </w:rPr>
              <w:t>5</w:t>
            </w:r>
            <w:r>
              <w:rPr>
                <w:rFonts w:ascii="Times New Roman" w:eastAsiaTheme="minorEastAsia" w:hAnsiTheme="minorEastAsia" w:hint="eastAsia"/>
                <w:szCs w:val="21"/>
              </w:rPr>
              <w:t>分：不完全符合比选条件，或提供的比选材料份数不够，材料不完整；</w:t>
            </w:r>
          </w:p>
          <w:p w:rsidR="005D52CD" w:rsidRDefault="005D52CD" w:rsidP="003B7398">
            <w:pPr>
              <w:pStyle w:val="a6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hint="eastAsia"/>
                <w:sz w:val="21"/>
                <w:szCs w:val="21"/>
              </w:rPr>
              <w:t>分：不符合比选条件。</w:t>
            </w:r>
          </w:p>
        </w:tc>
        <w:tc>
          <w:tcPr>
            <w:tcW w:w="1248" w:type="dxa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  <w:tr w:rsidR="005D52CD" w:rsidTr="003B7398">
        <w:trPr>
          <w:cantSplit/>
          <w:trHeight w:val="1839"/>
          <w:jc w:val="center"/>
        </w:trPr>
        <w:tc>
          <w:tcPr>
            <w:tcW w:w="1106" w:type="dxa"/>
            <w:vMerge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D52CD" w:rsidRPr="003950C6" w:rsidRDefault="005D52CD" w:rsidP="003B7398">
            <w:pPr>
              <w:jc w:val="center"/>
              <w:rPr>
                <w:rFonts w:ascii="Times New Roman" w:eastAsiaTheme="minorEastAsia" w:hAnsiTheme="minorEastAsia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人员配置</w:t>
            </w:r>
          </w:p>
        </w:tc>
        <w:tc>
          <w:tcPr>
            <w:tcW w:w="1195" w:type="dxa"/>
            <w:vAlign w:val="center"/>
          </w:tcPr>
          <w:p w:rsidR="005D52CD" w:rsidRPr="003950C6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3950C6">
              <w:rPr>
                <w:rFonts w:ascii="Times New Roman" w:eastAsiaTheme="minorEastAsia" w:hAnsi="Times New Roman" w:hint="eastAsia"/>
                <w:szCs w:val="21"/>
              </w:rPr>
              <w:t>分</w:t>
            </w:r>
          </w:p>
        </w:tc>
        <w:tc>
          <w:tcPr>
            <w:tcW w:w="4900" w:type="dxa"/>
          </w:tcPr>
          <w:p w:rsidR="005D52CD" w:rsidRPr="003950C6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0-2</w:t>
            </w:r>
            <w:r>
              <w:rPr>
                <w:rFonts w:ascii="Times New Roman" w:eastAsiaTheme="minorEastAsia" w:hAnsi="Times New Roman" w:hint="eastAsia"/>
                <w:szCs w:val="21"/>
              </w:rPr>
              <w:t>分：项目组负责人具有环境工程高级工程师职称；</w:t>
            </w:r>
            <w:r w:rsidRPr="003950C6">
              <w:rPr>
                <w:rFonts w:ascii="Times New Roman" w:eastAsiaTheme="minorEastAsia" w:hAnsi="Times New Roman" w:hint="eastAsia"/>
                <w:szCs w:val="21"/>
              </w:rPr>
              <w:t>有省级（含）以上有关政府部门</w:t>
            </w:r>
            <w:r>
              <w:rPr>
                <w:rFonts w:ascii="Times New Roman" w:eastAsiaTheme="minorEastAsia" w:hAnsi="Times New Roman" w:hint="eastAsia"/>
                <w:szCs w:val="21"/>
              </w:rPr>
              <w:t>颁发的专家证书；</w:t>
            </w:r>
          </w:p>
          <w:p w:rsidR="005D52CD" w:rsidRPr="003950C6" w:rsidRDefault="005D52CD" w:rsidP="003B7398">
            <w:pPr>
              <w:pStyle w:val="a6"/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分：</w:t>
            </w:r>
            <w:r w:rsidRPr="003950C6">
              <w:rPr>
                <w:rFonts w:hint="eastAsia"/>
                <w:sz w:val="21"/>
                <w:szCs w:val="21"/>
              </w:rPr>
              <w:t>项目团队两人</w:t>
            </w:r>
            <w:r>
              <w:rPr>
                <w:rFonts w:hint="eastAsia"/>
                <w:sz w:val="21"/>
                <w:szCs w:val="21"/>
              </w:rPr>
              <w:t>以上具有环境工程高级工程师或环境保护、生态环境类注册咨询工程师；</w:t>
            </w:r>
          </w:p>
          <w:p w:rsidR="005D52CD" w:rsidRPr="003950C6" w:rsidRDefault="005D52CD" w:rsidP="003B7398"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分：</w:t>
            </w:r>
            <w:r w:rsidRPr="003950C6">
              <w:rPr>
                <w:rFonts w:hint="eastAsia"/>
                <w:szCs w:val="21"/>
              </w:rPr>
              <w:t>项目团队</w:t>
            </w:r>
            <w:r w:rsidRPr="003950C6">
              <w:rPr>
                <w:szCs w:val="21"/>
              </w:rPr>
              <w:t>1</w:t>
            </w:r>
            <w:r w:rsidRPr="003950C6">
              <w:rPr>
                <w:rFonts w:hint="eastAsia"/>
                <w:szCs w:val="21"/>
              </w:rPr>
              <w:t>人以上具有高级经济师职称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8" w:type="dxa"/>
          </w:tcPr>
          <w:p w:rsidR="005D52CD" w:rsidRDefault="005D52CD" w:rsidP="003B7398">
            <w:pPr>
              <w:jc w:val="left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  <w:tr w:rsidR="005D52CD" w:rsidTr="003B7398">
        <w:trPr>
          <w:cantSplit/>
          <w:trHeight w:val="2583"/>
          <w:jc w:val="center"/>
        </w:trPr>
        <w:tc>
          <w:tcPr>
            <w:tcW w:w="1106" w:type="dxa"/>
            <w:vMerge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D52CD" w:rsidRPr="003950C6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类似服务经验或成功案例、以前供应服务绩效</w:t>
            </w:r>
          </w:p>
        </w:tc>
        <w:tc>
          <w:tcPr>
            <w:tcW w:w="1195" w:type="dxa"/>
            <w:vAlign w:val="center"/>
          </w:tcPr>
          <w:p w:rsidR="005D52CD" w:rsidRPr="003950C6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6</w:t>
            </w:r>
            <w:r w:rsidRPr="003950C6">
              <w:rPr>
                <w:rFonts w:ascii="Times New Roman" w:eastAsiaTheme="minorEastAsia" w:hAnsi="Times New Roman" w:hint="eastAsia"/>
                <w:szCs w:val="21"/>
              </w:rPr>
              <w:t>分</w:t>
            </w:r>
          </w:p>
        </w:tc>
        <w:tc>
          <w:tcPr>
            <w:tcW w:w="4900" w:type="dxa"/>
          </w:tcPr>
          <w:p w:rsidR="005D52CD" w:rsidRDefault="005D52CD" w:rsidP="003B73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6分：具有成功提供类似服务案例5次（含5次）以上；</w:t>
            </w:r>
          </w:p>
          <w:p w:rsidR="005D52CD" w:rsidRDefault="005D52CD" w:rsidP="003B7398">
            <w:pPr>
              <w:pStyle w:val="a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0-4分：提供业绩不足5次。</w:t>
            </w:r>
          </w:p>
          <w:p w:rsidR="005D52CD" w:rsidRPr="00C04B46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备注：以上可</w:t>
            </w:r>
            <w:r w:rsidRPr="003950C6">
              <w:rPr>
                <w:rFonts w:ascii="Times New Roman" w:eastAsiaTheme="minorEastAsia" w:hAnsi="Times New Roman" w:hint="eastAsia"/>
                <w:szCs w:val="21"/>
              </w:rPr>
              <w:t>附业绩清单（含负责人、参与人、委托单位）、能表明成果主要内容和质量的成果文件摘要。</w:t>
            </w:r>
          </w:p>
        </w:tc>
        <w:tc>
          <w:tcPr>
            <w:tcW w:w="1248" w:type="dxa"/>
          </w:tcPr>
          <w:p w:rsidR="005D52CD" w:rsidRPr="00C04B46" w:rsidRDefault="005D52CD" w:rsidP="005D52CD">
            <w:pPr>
              <w:ind w:firstLineChars="200" w:firstLine="400"/>
              <w:jc w:val="left"/>
              <w:rPr>
                <w:rFonts w:ascii="Times New Roman" w:eastAsia="方正小标宋简体" w:hAnsi="Times New Roman"/>
                <w:szCs w:val="21"/>
              </w:rPr>
            </w:pPr>
            <w:bookmarkStart w:id="0" w:name="_GoBack"/>
            <w:bookmarkEnd w:id="0"/>
          </w:p>
        </w:tc>
      </w:tr>
      <w:tr w:rsidR="005D52CD" w:rsidTr="003B7398">
        <w:trPr>
          <w:cantSplit/>
          <w:trHeight w:val="2687"/>
          <w:jc w:val="center"/>
        </w:trPr>
        <w:tc>
          <w:tcPr>
            <w:tcW w:w="1106" w:type="dxa"/>
            <w:vMerge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D52CD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提供服务实施方案与比选公告要求的购买需求满足度</w:t>
            </w:r>
          </w:p>
        </w:tc>
        <w:tc>
          <w:tcPr>
            <w:tcW w:w="1195" w:type="dxa"/>
            <w:vAlign w:val="center"/>
          </w:tcPr>
          <w:p w:rsidR="005D52CD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25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4900" w:type="dxa"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20-25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分：实施方案安排合理，能实现预期目标，完全符合比选公告中提出的要求；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15-20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分：实施方案比较合理，基本实现预期目标，基本符合比选公告中提出的要求；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10-15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分：实施方案安排存在不合理的情况，预期效果较差，不完全符合比选公告中提出的要求；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＜</w:t>
            </w:r>
            <w:r w:rsidRPr="003950C6">
              <w:rPr>
                <w:rFonts w:ascii="Times New Roman" w:eastAsiaTheme="minorEastAsia" w:hAnsi="Times New Roman"/>
                <w:szCs w:val="21"/>
              </w:rPr>
              <w:t>10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分：实施方案安排不合理，比选方案预期效果较差，多方面不符合比选公告中提出的要求</w:t>
            </w:r>
            <w:r>
              <w:rPr>
                <w:rFonts w:ascii="Times New Roman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248" w:type="dxa"/>
          </w:tcPr>
          <w:p w:rsidR="005D52CD" w:rsidRDefault="005D52CD" w:rsidP="003B7398">
            <w:pPr>
              <w:rPr>
                <w:rFonts w:ascii="Times New Roman" w:hAnsi="Times New Roman"/>
              </w:rPr>
            </w:pPr>
          </w:p>
        </w:tc>
      </w:tr>
      <w:tr w:rsidR="005D52CD" w:rsidTr="003B7398">
        <w:trPr>
          <w:cantSplit/>
          <w:trHeight w:val="1535"/>
          <w:jc w:val="center"/>
        </w:trPr>
        <w:tc>
          <w:tcPr>
            <w:tcW w:w="1106" w:type="dxa"/>
            <w:vMerge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D52CD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提供服务组织保障和可行性</w:t>
            </w:r>
          </w:p>
        </w:tc>
        <w:tc>
          <w:tcPr>
            <w:tcW w:w="1195" w:type="dxa"/>
            <w:vAlign w:val="center"/>
          </w:tcPr>
          <w:p w:rsidR="005D52CD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25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4900" w:type="dxa"/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20-25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分：保障有力；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10-20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分：可行；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＜</w:t>
            </w:r>
            <w:r w:rsidRPr="003950C6">
              <w:rPr>
                <w:rFonts w:ascii="Times New Roman" w:eastAsiaTheme="minorEastAsia" w:hAnsi="Times New Roman"/>
                <w:szCs w:val="21"/>
              </w:rPr>
              <w:t>10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</w:t>
            </w:r>
            <w:r>
              <w:rPr>
                <w:rFonts w:ascii="Times New Roman" w:eastAsiaTheme="minorEastAsia" w:hAnsiTheme="minorEastAsia" w:hint="eastAsia"/>
                <w:szCs w:val="21"/>
              </w:rPr>
              <w:t>：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基本可行；</w:t>
            </w:r>
          </w:p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0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</w:t>
            </w:r>
            <w:r>
              <w:rPr>
                <w:rFonts w:ascii="Times New Roman" w:eastAsiaTheme="minorEastAsia" w:hAnsiTheme="minorEastAsia" w:hint="eastAsia"/>
                <w:szCs w:val="21"/>
              </w:rPr>
              <w:t>：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不可行</w:t>
            </w:r>
            <w:r>
              <w:rPr>
                <w:rFonts w:ascii="Times New Roman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248" w:type="dxa"/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  <w:tr w:rsidR="005D52CD" w:rsidTr="003B7398">
        <w:trPr>
          <w:cantSplit/>
          <w:trHeight w:val="695"/>
          <w:jc w:val="center"/>
        </w:trPr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D52CD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比选报价（元）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5D52CD" w:rsidRDefault="005D52CD" w:rsidP="003B739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="Times New Roman"/>
                <w:szCs w:val="21"/>
              </w:rPr>
              <w:t>30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5D52CD" w:rsidRDefault="005D52CD" w:rsidP="003B739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950C6">
              <w:rPr>
                <w:rFonts w:ascii="Times New Roman" w:eastAsiaTheme="minorEastAsia" w:hAnsiTheme="minorEastAsia" w:hint="eastAsia"/>
                <w:szCs w:val="21"/>
              </w:rPr>
              <w:t>报价分项得分＝参选申请人中最低报价</w:t>
            </w:r>
            <w:r w:rsidRPr="003950C6">
              <w:rPr>
                <w:rFonts w:ascii="Times New Roman" w:eastAsiaTheme="minorEastAsia" w:hAnsi="Times New Roman"/>
                <w:szCs w:val="21"/>
              </w:rPr>
              <w:t>/</w:t>
            </w:r>
            <w:r w:rsidRPr="003950C6">
              <w:rPr>
                <w:rFonts w:ascii="Times New Roman" w:eastAsiaTheme="minorEastAsia" w:hAnsiTheme="minorEastAsia" w:hint="eastAsia"/>
                <w:szCs w:val="21"/>
              </w:rPr>
              <w:t>该申请人实际报价</w:t>
            </w:r>
            <w:r w:rsidRPr="003950C6">
              <w:rPr>
                <w:rFonts w:ascii="Times New Roman" w:eastAsiaTheme="minorEastAsia" w:hAnsi="Times New Roman" w:hint="eastAsia"/>
                <w:szCs w:val="21"/>
              </w:rPr>
              <w:t>×</w:t>
            </w:r>
            <w:r w:rsidRPr="003950C6">
              <w:rPr>
                <w:rFonts w:ascii="Times New Roman" w:eastAsiaTheme="minorEastAsia" w:hAnsi="Times New Roman"/>
                <w:szCs w:val="21"/>
              </w:rPr>
              <w:t>30</w:t>
            </w:r>
            <w:r>
              <w:rPr>
                <w:rFonts w:ascii="Times New Roman" w:eastAsiaTheme="minorEastAsia" w:hAnsi="Times New Roman"/>
                <w:szCs w:val="21"/>
              </w:rPr>
              <w:t>。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5D52CD" w:rsidRDefault="005D52CD" w:rsidP="003B7398">
            <w:pPr>
              <w:pStyle w:val="a6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  <w:tr w:rsidR="005D52CD" w:rsidTr="003B7398">
        <w:trPr>
          <w:cantSplit/>
          <w:trHeight w:val="899"/>
          <w:jc w:val="center"/>
        </w:trPr>
        <w:tc>
          <w:tcPr>
            <w:tcW w:w="8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CD" w:rsidRDefault="005D52CD" w:rsidP="003B7398">
            <w:pPr>
              <w:pStyle w:val="a6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Theme="minorEastAsia" w:hint="eastAsia"/>
                <w:b/>
                <w:szCs w:val="21"/>
              </w:rPr>
              <w:t>比选得分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5D52CD" w:rsidRPr="003950C6" w:rsidRDefault="005D52CD" w:rsidP="003B7398">
            <w:pPr>
              <w:pStyle w:val="a6"/>
              <w:keepNext/>
              <w:keepLines/>
              <w:spacing w:before="260" w:after="260" w:line="416" w:lineRule="auto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  <w:tr w:rsidR="005D52CD" w:rsidTr="003B7398">
        <w:trPr>
          <w:cantSplit/>
          <w:trHeight w:val="1795"/>
          <w:jc w:val="center"/>
        </w:trPr>
        <w:tc>
          <w:tcPr>
            <w:tcW w:w="100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CD" w:rsidRDefault="005D52CD" w:rsidP="003B7398">
            <w:pPr>
              <w:pStyle w:val="a6"/>
              <w:rPr>
                <w:rFonts w:ascii="Times New Roman" w:eastAsia="方正小标宋简体" w:hAnsi="Times New Roman"/>
                <w:b/>
                <w:sz w:val="36"/>
                <w:szCs w:val="36"/>
              </w:rPr>
            </w:pPr>
            <w:r>
              <w:rPr>
                <w:rFonts w:ascii="Times New Roman" w:eastAsiaTheme="minorEastAsia" w:hAnsiTheme="minorEastAsia" w:hint="eastAsia"/>
                <w:b/>
                <w:szCs w:val="21"/>
              </w:rPr>
              <w:t>评审小组成员签名：</w:t>
            </w:r>
          </w:p>
        </w:tc>
      </w:tr>
    </w:tbl>
    <w:p w:rsidR="005D3415" w:rsidRDefault="005D3415"/>
    <w:sectPr w:rsidR="005D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15" w:rsidRDefault="005D3415" w:rsidP="005D52CD">
      <w:r>
        <w:separator/>
      </w:r>
    </w:p>
  </w:endnote>
  <w:endnote w:type="continuationSeparator" w:id="1">
    <w:p w:rsidR="005D3415" w:rsidRDefault="005D3415" w:rsidP="005D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15" w:rsidRDefault="005D3415" w:rsidP="005D52CD">
      <w:r>
        <w:separator/>
      </w:r>
    </w:p>
  </w:footnote>
  <w:footnote w:type="continuationSeparator" w:id="1">
    <w:p w:rsidR="005D3415" w:rsidRDefault="005D3415" w:rsidP="005D5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2CD"/>
    <w:rsid w:val="005D3415"/>
    <w:rsid w:val="005D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52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D5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D52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5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D52CD"/>
    <w:rPr>
      <w:sz w:val="18"/>
      <w:szCs w:val="18"/>
    </w:rPr>
  </w:style>
  <w:style w:type="paragraph" w:styleId="a6">
    <w:name w:val="Body Text"/>
    <w:basedOn w:val="a"/>
    <w:next w:val="a"/>
    <w:link w:val="Char1"/>
    <w:uiPriority w:val="1"/>
    <w:qFormat/>
    <w:rsid w:val="005D52CD"/>
    <w:rPr>
      <w:sz w:val="24"/>
    </w:rPr>
  </w:style>
  <w:style w:type="character" w:customStyle="1" w:styleId="Char1">
    <w:name w:val="正文文本 Char"/>
    <w:basedOn w:val="a1"/>
    <w:link w:val="a6"/>
    <w:uiPriority w:val="1"/>
    <w:qFormat/>
    <w:rsid w:val="005D52CD"/>
    <w:rPr>
      <w:rFonts w:ascii="Calibri" w:eastAsia="宋体" w:hAnsi="Calibri" w:cs="Times New Roman"/>
      <w:sz w:val="24"/>
      <w:szCs w:val="24"/>
    </w:rPr>
  </w:style>
  <w:style w:type="table" w:styleId="a7">
    <w:name w:val="Table Grid"/>
    <w:basedOn w:val="a2"/>
    <w:uiPriority w:val="59"/>
    <w:qFormat/>
    <w:rsid w:val="005D52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5D52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康钦昕</dc:creator>
  <cp:keywords/>
  <dc:description/>
  <cp:lastModifiedBy>康钦昕</cp:lastModifiedBy>
  <cp:revision>2</cp:revision>
  <dcterms:created xsi:type="dcterms:W3CDTF">2021-12-30T08:06:00Z</dcterms:created>
  <dcterms:modified xsi:type="dcterms:W3CDTF">2021-12-30T08:06:00Z</dcterms:modified>
</cp:coreProperties>
</file>