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9AF427">
      <w:pPr>
        <w:spacing w:line="540" w:lineRule="exact"/>
        <w:jc w:val="center"/>
        <w:rPr>
          <w:rFonts w:ascii="Times New Roman" w:hAnsi="Times New Roman" w:eastAsia="方正小标宋简体"/>
          <w:kern w:val="0"/>
          <w:sz w:val="44"/>
          <w:szCs w:val="44"/>
        </w:rPr>
      </w:pPr>
    </w:p>
    <w:p w14:paraId="121C74D4">
      <w:pPr>
        <w:jc w:val="left"/>
        <w:rPr>
          <w:rFonts w:hint="eastAsia" w:ascii="Times New Roman" w:hAnsi="Times New Roman" w:eastAsia="黑体" w:cs="黑体"/>
          <w:color w:val="000000" w:themeColor="text1"/>
          <w:sz w:val="44"/>
          <w:szCs w:val="44"/>
          <w:lang w:val="en-US" w:eastAsia="zh-CN"/>
          <w14:textFill>
            <w14:solidFill>
              <w14:schemeClr w14:val="tx1"/>
            </w14:solidFill>
          </w14:textFill>
        </w:rPr>
      </w:pPr>
      <w:bookmarkStart w:id="0" w:name="_GoBack"/>
      <w:bookmarkEnd w:id="0"/>
      <w:r>
        <w:rPr>
          <w:rFonts w:hint="eastAsia" w:ascii="Times New Roman" w:hAnsi="Times New Roman" w:eastAsia="黑体" w:cs="黑体"/>
          <w:color w:val="000000" w:themeColor="text1"/>
          <w:sz w:val="32"/>
          <w:szCs w:val="32"/>
          <w:lang w:eastAsia="zh-CN"/>
          <w14:textFill>
            <w14:solidFill>
              <w14:schemeClr w14:val="tx1"/>
            </w14:solidFill>
          </w14:textFill>
        </w:rPr>
        <w:t>附件</w:t>
      </w:r>
      <w:r>
        <w:rPr>
          <w:rFonts w:hint="eastAsia" w:ascii="Times New Roman" w:hAnsi="Times New Roman" w:eastAsia="黑体" w:cs="黑体"/>
          <w:color w:val="000000" w:themeColor="text1"/>
          <w:sz w:val="32"/>
          <w:szCs w:val="32"/>
          <w:lang w:val="en-US" w:eastAsia="zh-CN"/>
          <w14:textFill>
            <w14:solidFill>
              <w14:schemeClr w14:val="tx1"/>
            </w14:solidFill>
          </w14:textFill>
        </w:rPr>
        <w:t>2</w:t>
      </w:r>
    </w:p>
    <w:p w14:paraId="43221128">
      <w:pPr>
        <w:jc w:val="center"/>
        <w:rPr>
          <w:rFonts w:hint="eastAsia" w:ascii="Times New Roman" w:hAnsi="Times New Roman" w:eastAsia="方正公文小标宋" w:cs="方正公文小标宋"/>
          <w:color w:val="000000" w:themeColor="text1"/>
          <w:sz w:val="44"/>
          <w:szCs w:val="44"/>
          <w14:textFill>
            <w14:solidFill>
              <w14:schemeClr w14:val="tx1"/>
            </w14:solidFill>
          </w14:textFill>
        </w:rPr>
      </w:pPr>
      <w:r>
        <w:rPr>
          <w:rFonts w:hint="eastAsia" w:ascii="Times New Roman" w:hAnsi="Times New Roman" w:eastAsia="方正公文小标宋" w:cs="方正公文小标宋"/>
          <w:color w:val="000000" w:themeColor="text1"/>
          <w:sz w:val="44"/>
          <w:szCs w:val="44"/>
          <w:lang w:eastAsia="zh-CN"/>
          <w14:textFill>
            <w14:solidFill>
              <w14:schemeClr w14:val="tx1"/>
            </w14:solidFill>
          </w14:textFill>
        </w:rPr>
        <w:t>选取</w:t>
      </w:r>
      <w:r>
        <w:rPr>
          <w:rFonts w:hint="eastAsia" w:ascii="Times New Roman" w:hAnsi="Times New Roman" w:eastAsia="方正公文小标宋" w:cs="方正公文小标宋"/>
          <w:color w:val="000000" w:themeColor="text1"/>
          <w:sz w:val="44"/>
          <w:szCs w:val="44"/>
          <w14:textFill>
            <w14:solidFill>
              <w14:schemeClr w14:val="tx1"/>
            </w14:solidFill>
          </w14:textFill>
        </w:rPr>
        <w:t>代理</w:t>
      </w:r>
      <w:r>
        <w:rPr>
          <w:rFonts w:hint="eastAsia" w:ascii="Times New Roman" w:hAnsi="Times New Roman" w:eastAsia="方正公文小标宋" w:cs="方正公文小标宋"/>
          <w:color w:val="000000" w:themeColor="text1"/>
          <w:sz w:val="44"/>
          <w:szCs w:val="44"/>
          <w:lang w:eastAsia="zh-CN"/>
          <w14:textFill>
            <w14:solidFill>
              <w14:schemeClr w14:val="tx1"/>
            </w14:solidFill>
          </w14:textFill>
        </w:rPr>
        <w:t>机构</w:t>
      </w:r>
      <w:r>
        <w:rPr>
          <w:rFonts w:hint="eastAsia" w:ascii="Times New Roman" w:hAnsi="Times New Roman" w:eastAsia="方正公文小标宋" w:cs="方正公文小标宋"/>
          <w:color w:val="000000" w:themeColor="text1"/>
          <w:sz w:val="44"/>
          <w:szCs w:val="44"/>
          <w14:textFill>
            <w14:solidFill>
              <w14:schemeClr w14:val="tx1"/>
            </w14:solidFill>
          </w14:textFill>
        </w:rPr>
        <w:t>评分表</w:t>
      </w:r>
    </w:p>
    <w:tbl>
      <w:tblPr>
        <w:tblStyle w:val="13"/>
        <w:tblW w:w="5863"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21"/>
        <w:gridCol w:w="1114"/>
        <w:gridCol w:w="4"/>
        <w:gridCol w:w="4671"/>
        <w:gridCol w:w="1929"/>
        <w:gridCol w:w="1054"/>
      </w:tblGrid>
      <w:tr w14:paraId="7F10C4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23" w:hRule="atLeast"/>
          <w:jc w:val="center"/>
        </w:trPr>
        <w:tc>
          <w:tcPr>
            <w:tcW w:w="611" w:type="pct"/>
            <w:vAlign w:val="center"/>
          </w:tcPr>
          <w:p w14:paraId="1F47A550">
            <w:pPr>
              <w:spacing w:line="360" w:lineRule="auto"/>
              <w:jc w:val="center"/>
              <w:rPr>
                <w:rFonts w:ascii="Times New Roman" w:hAnsi="Times New Roman" w:eastAsia="黑体"/>
                <w:sz w:val="24"/>
              </w:rPr>
            </w:pPr>
            <w:r>
              <w:rPr>
                <w:rFonts w:ascii="Times New Roman" w:hAnsi="Times New Roman" w:eastAsia="黑体"/>
                <w:sz w:val="24"/>
              </w:rPr>
              <w:t>评分因素</w:t>
            </w:r>
          </w:p>
        </w:tc>
        <w:tc>
          <w:tcPr>
            <w:tcW w:w="557" w:type="pct"/>
            <w:vAlign w:val="center"/>
          </w:tcPr>
          <w:p w14:paraId="6D187274">
            <w:pPr>
              <w:spacing w:line="240" w:lineRule="atLeast"/>
              <w:jc w:val="center"/>
              <w:rPr>
                <w:rFonts w:ascii="Times New Roman" w:hAnsi="Times New Roman" w:eastAsia="黑体"/>
                <w:sz w:val="24"/>
              </w:rPr>
            </w:pPr>
            <w:r>
              <w:rPr>
                <w:rFonts w:ascii="Times New Roman" w:hAnsi="Times New Roman" w:eastAsia="黑体"/>
                <w:sz w:val="24"/>
              </w:rPr>
              <w:t>分值</w:t>
            </w:r>
          </w:p>
        </w:tc>
        <w:tc>
          <w:tcPr>
            <w:tcW w:w="2338" w:type="pct"/>
            <w:gridSpan w:val="2"/>
            <w:vAlign w:val="center"/>
          </w:tcPr>
          <w:p w14:paraId="16C480D0">
            <w:pPr>
              <w:spacing w:line="240" w:lineRule="atLeast"/>
              <w:ind w:left="210" w:leftChars="100" w:right="210" w:rightChars="100"/>
              <w:jc w:val="center"/>
              <w:rPr>
                <w:rFonts w:ascii="Times New Roman" w:hAnsi="Times New Roman" w:eastAsia="黑体"/>
                <w:sz w:val="24"/>
              </w:rPr>
            </w:pPr>
            <w:r>
              <w:rPr>
                <w:rFonts w:ascii="Times New Roman" w:hAnsi="Times New Roman" w:eastAsia="黑体"/>
                <w:sz w:val="24"/>
              </w:rPr>
              <w:t>详细评分标准</w:t>
            </w:r>
          </w:p>
        </w:tc>
        <w:tc>
          <w:tcPr>
            <w:tcW w:w="965" w:type="pct"/>
            <w:vAlign w:val="center"/>
          </w:tcPr>
          <w:p w14:paraId="590177E8">
            <w:pPr>
              <w:spacing w:line="240" w:lineRule="atLeast"/>
              <w:jc w:val="center"/>
              <w:rPr>
                <w:rFonts w:ascii="Times New Roman" w:hAnsi="Times New Roman" w:eastAsia="黑体"/>
                <w:sz w:val="24"/>
              </w:rPr>
            </w:pPr>
            <w:r>
              <w:rPr>
                <w:rFonts w:ascii="Times New Roman" w:hAnsi="Times New Roman" w:eastAsia="黑体"/>
                <w:sz w:val="24"/>
              </w:rPr>
              <w:t>备注</w:t>
            </w:r>
          </w:p>
        </w:tc>
        <w:tc>
          <w:tcPr>
            <w:tcW w:w="527" w:type="pct"/>
            <w:vAlign w:val="center"/>
          </w:tcPr>
          <w:p w14:paraId="64063C42">
            <w:pPr>
              <w:spacing w:line="240" w:lineRule="atLeast"/>
              <w:jc w:val="center"/>
              <w:rPr>
                <w:rFonts w:hint="eastAsia" w:ascii="Times New Roman" w:hAnsi="Times New Roman" w:eastAsia="黑体"/>
                <w:sz w:val="24"/>
                <w:lang w:eastAsia="zh-CN"/>
              </w:rPr>
            </w:pPr>
            <w:r>
              <w:rPr>
                <w:rFonts w:hint="eastAsia" w:ascii="Times New Roman" w:hAnsi="Times New Roman" w:eastAsia="黑体"/>
                <w:sz w:val="24"/>
                <w:lang w:eastAsia="zh-CN"/>
              </w:rPr>
              <w:t>得分</w:t>
            </w:r>
          </w:p>
        </w:tc>
      </w:tr>
      <w:tr w14:paraId="0B2159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31" w:hRule="atLeast"/>
          <w:jc w:val="center"/>
        </w:trPr>
        <w:tc>
          <w:tcPr>
            <w:tcW w:w="611" w:type="pct"/>
            <w:vAlign w:val="center"/>
          </w:tcPr>
          <w:p w14:paraId="31567CE2">
            <w:pPr>
              <w:spacing w:line="400" w:lineRule="exact"/>
              <w:jc w:val="center"/>
              <w:rPr>
                <w:rFonts w:ascii="Times New Roman" w:hAnsi="Times New Roman" w:eastAsia="仿宋"/>
                <w:sz w:val="24"/>
              </w:rPr>
            </w:pPr>
            <w:r>
              <w:rPr>
                <w:rFonts w:ascii="Times New Roman" w:hAnsi="Times New Roman" w:eastAsia="仿宋"/>
                <w:sz w:val="24"/>
              </w:rPr>
              <w:t>设施配置</w:t>
            </w:r>
          </w:p>
        </w:tc>
        <w:tc>
          <w:tcPr>
            <w:tcW w:w="557" w:type="pct"/>
            <w:vAlign w:val="center"/>
          </w:tcPr>
          <w:p w14:paraId="37524174">
            <w:pPr>
              <w:spacing w:line="400" w:lineRule="exact"/>
              <w:jc w:val="center"/>
              <w:rPr>
                <w:rFonts w:ascii="Times New Roman" w:hAnsi="Times New Roman" w:eastAsia="仿宋"/>
                <w:sz w:val="24"/>
              </w:rPr>
            </w:pPr>
            <w:r>
              <w:rPr>
                <w:rFonts w:ascii="Times New Roman" w:hAnsi="Times New Roman" w:eastAsia="仿宋"/>
                <w:sz w:val="24"/>
              </w:rPr>
              <w:t>15分</w:t>
            </w:r>
          </w:p>
        </w:tc>
        <w:tc>
          <w:tcPr>
            <w:tcW w:w="2338" w:type="pct"/>
            <w:gridSpan w:val="2"/>
            <w:vAlign w:val="center"/>
          </w:tcPr>
          <w:p w14:paraId="4CFA1518">
            <w:pPr>
              <w:spacing w:line="320" w:lineRule="exact"/>
              <w:ind w:right="210" w:rightChars="100"/>
              <w:jc w:val="left"/>
              <w:rPr>
                <w:rFonts w:ascii="Times New Roman" w:hAnsi="Times New Roman" w:eastAsia="仿宋"/>
                <w:szCs w:val="21"/>
              </w:rPr>
            </w:pPr>
            <w:r>
              <w:rPr>
                <w:rFonts w:ascii="Times New Roman" w:hAnsi="Times New Roman" w:eastAsia="仿宋"/>
                <w:szCs w:val="21"/>
              </w:rPr>
              <w:t>有1个及以上开标厅，2个及以上独立评标室（其中有至少一间电子评标室），有监督监控区，开评标监控系统，门禁系统。设备设施齐全的得15分，不齐全的每缺少一项扣3分，不提供不得分</w:t>
            </w:r>
          </w:p>
        </w:tc>
        <w:tc>
          <w:tcPr>
            <w:tcW w:w="965" w:type="pct"/>
            <w:vAlign w:val="center"/>
          </w:tcPr>
          <w:p w14:paraId="477A0CD0">
            <w:pPr>
              <w:spacing w:line="320" w:lineRule="exact"/>
              <w:jc w:val="left"/>
              <w:rPr>
                <w:rFonts w:ascii="Times New Roman" w:hAnsi="Times New Roman" w:eastAsia="仿宋"/>
                <w:szCs w:val="21"/>
              </w:rPr>
            </w:pPr>
            <w:r>
              <w:rPr>
                <w:rFonts w:ascii="Times New Roman" w:hAnsi="Times New Roman" w:eastAsia="仿宋"/>
                <w:szCs w:val="21"/>
              </w:rPr>
              <w:t>提供场地照片。</w:t>
            </w:r>
          </w:p>
        </w:tc>
        <w:tc>
          <w:tcPr>
            <w:tcW w:w="527" w:type="pct"/>
            <w:vAlign w:val="center"/>
          </w:tcPr>
          <w:p w14:paraId="2BEA1189">
            <w:pPr>
              <w:spacing w:line="320" w:lineRule="exact"/>
              <w:jc w:val="left"/>
              <w:rPr>
                <w:rFonts w:ascii="Times New Roman" w:hAnsi="Times New Roman" w:eastAsia="仿宋"/>
                <w:szCs w:val="21"/>
              </w:rPr>
            </w:pPr>
          </w:p>
        </w:tc>
      </w:tr>
      <w:tr w14:paraId="5D446E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94" w:hRule="atLeast"/>
          <w:jc w:val="center"/>
        </w:trPr>
        <w:tc>
          <w:tcPr>
            <w:tcW w:w="611" w:type="pct"/>
            <w:vAlign w:val="center"/>
          </w:tcPr>
          <w:p w14:paraId="66BC1387">
            <w:pPr>
              <w:spacing w:line="400" w:lineRule="exact"/>
              <w:jc w:val="center"/>
              <w:rPr>
                <w:rFonts w:ascii="Times New Roman" w:hAnsi="Times New Roman" w:eastAsia="仿宋"/>
                <w:sz w:val="24"/>
              </w:rPr>
            </w:pPr>
            <w:r>
              <w:rPr>
                <w:rFonts w:ascii="Times New Roman" w:hAnsi="Times New Roman" w:eastAsia="仿宋"/>
                <w:sz w:val="24"/>
              </w:rPr>
              <w:t>代理业绩</w:t>
            </w:r>
          </w:p>
        </w:tc>
        <w:tc>
          <w:tcPr>
            <w:tcW w:w="557" w:type="pct"/>
            <w:vAlign w:val="center"/>
          </w:tcPr>
          <w:p w14:paraId="285483BA">
            <w:pPr>
              <w:spacing w:line="400" w:lineRule="exact"/>
              <w:ind w:right="210" w:rightChars="100"/>
              <w:jc w:val="center"/>
              <w:rPr>
                <w:rFonts w:ascii="Times New Roman" w:hAnsi="Times New Roman" w:eastAsia="仿宋"/>
                <w:sz w:val="24"/>
              </w:rPr>
            </w:pPr>
            <w:r>
              <w:rPr>
                <w:rFonts w:ascii="Times New Roman" w:hAnsi="Times New Roman" w:eastAsia="仿宋"/>
                <w:sz w:val="24"/>
              </w:rPr>
              <w:t>20分</w:t>
            </w:r>
          </w:p>
        </w:tc>
        <w:tc>
          <w:tcPr>
            <w:tcW w:w="2338" w:type="pct"/>
            <w:gridSpan w:val="2"/>
            <w:vAlign w:val="center"/>
          </w:tcPr>
          <w:p w14:paraId="1F50F7A2">
            <w:pPr>
              <w:spacing w:line="320" w:lineRule="exact"/>
              <w:ind w:right="210" w:rightChars="100"/>
              <w:jc w:val="left"/>
              <w:rPr>
                <w:rFonts w:ascii="Times New Roman" w:hAnsi="Times New Roman" w:eastAsia="仿宋"/>
                <w:szCs w:val="21"/>
              </w:rPr>
            </w:pPr>
            <w:r>
              <w:rPr>
                <w:rFonts w:ascii="Times New Roman" w:hAnsi="Times New Roman" w:eastAsia="仿宋"/>
                <w:szCs w:val="21"/>
              </w:rPr>
              <w:t>根据代理机构的202</w:t>
            </w:r>
            <w:r>
              <w:rPr>
                <w:rFonts w:hint="eastAsia" w:ascii="Times New Roman" w:hAnsi="Times New Roman" w:eastAsia="仿宋"/>
                <w:szCs w:val="21"/>
                <w:lang w:val="en-US" w:eastAsia="zh-CN"/>
              </w:rPr>
              <w:t>2</w:t>
            </w:r>
            <w:r>
              <w:rPr>
                <w:rFonts w:ascii="Times New Roman" w:hAnsi="Times New Roman" w:eastAsia="仿宋"/>
                <w:szCs w:val="21"/>
              </w:rPr>
              <w:t>年以来的政府采购招标代理项目业绩，有1个得2分，最多得20分。</w:t>
            </w:r>
          </w:p>
        </w:tc>
        <w:tc>
          <w:tcPr>
            <w:tcW w:w="965" w:type="pct"/>
            <w:vAlign w:val="center"/>
          </w:tcPr>
          <w:p w14:paraId="5B46C94D">
            <w:pPr>
              <w:spacing w:line="320" w:lineRule="exact"/>
              <w:jc w:val="left"/>
              <w:rPr>
                <w:rFonts w:ascii="Times New Roman" w:hAnsi="Times New Roman" w:eastAsia="仿宋"/>
                <w:b/>
                <w:bCs/>
                <w:kern w:val="44"/>
                <w:szCs w:val="21"/>
              </w:rPr>
            </w:pPr>
            <w:r>
              <w:rPr>
                <w:rFonts w:ascii="Times New Roman" w:hAnsi="Times New Roman" w:eastAsia="仿宋"/>
                <w:szCs w:val="21"/>
              </w:rPr>
              <w:t>以四川政府采购网结果公告</w:t>
            </w:r>
            <w:r>
              <w:rPr>
                <w:rFonts w:hint="eastAsia" w:ascii="Times New Roman" w:hAnsi="Times New Roman" w:eastAsia="仿宋"/>
                <w:szCs w:val="21"/>
                <w:lang w:eastAsia="zh-Hans"/>
              </w:rPr>
              <w:t>或</w:t>
            </w:r>
            <w:r>
              <w:rPr>
                <w:rFonts w:ascii="Times New Roman" w:hAnsi="Times New Roman" w:eastAsia="仿宋"/>
                <w:szCs w:val="21"/>
              </w:rPr>
              <w:t>委托代理协议为准。</w:t>
            </w:r>
          </w:p>
        </w:tc>
        <w:tc>
          <w:tcPr>
            <w:tcW w:w="527" w:type="pct"/>
            <w:vAlign w:val="center"/>
          </w:tcPr>
          <w:p w14:paraId="04EA3688">
            <w:pPr>
              <w:spacing w:line="320" w:lineRule="exact"/>
              <w:jc w:val="left"/>
              <w:rPr>
                <w:rFonts w:ascii="Times New Roman" w:hAnsi="Times New Roman" w:eastAsia="仿宋"/>
                <w:szCs w:val="21"/>
              </w:rPr>
            </w:pPr>
          </w:p>
        </w:tc>
      </w:tr>
      <w:tr w14:paraId="6DD502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6" w:hRule="atLeast"/>
          <w:jc w:val="center"/>
        </w:trPr>
        <w:tc>
          <w:tcPr>
            <w:tcW w:w="611" w:type="pct"/>
            <w:vAlign w:val="center"/>
          </w:tcPr>
          <w:p w14:paraId="6C62DA45">
            <w:pPr>
              <w:spacing w:line="400" w:lineRule="exact"/>
              <w:jc w:val="center"/>
              <w:rPr>
                <w:rFonts w:ascii="Times New Roman" w:hAnsi="Times New Roman" w:eastAsia="仿宋"/>
                <w:sz w:val="24"/>
              </w:rPr>
            </w:pPr>
            <w:r>
              <w:rPr>
                <w:rFonts w:ascii="Times New Roman" w:hAnsi="Times New Roman" w:eastAsia="仿宋"/>
                <w:sz w:val="24"/>
              </w:rPr>
              <w:t>信誉及管理体系</w:t>
            </w:r>
          </w:p>
        </w:tc>
        <w:tc>
          <w:tcPr>
            <w:tcW w:w="557" w:type="pct"/>
            <w:vAlign w:val="center"/>
          </w:tcPr>
          <w:p w14:paraId="224C16EF">
            <w:pPr>
              <w:spacing w:line="400" w:lineRule="exact"/>
              <w:jc w:val="center"/>
              <w:rPr>
                <w:rFonts w:ascii="Times New Roman" w:hAnsi="Times New Roman" w:eastAsia="仿宋"/>
                <w:sz w:val="24"/>
              </w:rPr>
            </w:pPr>
            <w:r>
              <w:rPr>
                <w:rFonts w:ascii="Times New Roman" w:hAnsi="Times New Roman" w:eastAsia="仿宋"/>
                <w:sz w:val="24"/>
              </w:rPr>
              <w:t>16分</w:t>
            </w:r>
          </w:p>
        </w:tc>
        <w:tc>
          <w:tcPr>
            <w:tcW w:w="2338" w:type="pct"/>
            <w:gridSpan w:val="2"/>
            <w:vAlign w:val="center"/>
          </w:tcPr>
          <w:p w14:paraId="149995B7">
            <w:pPr>
              <w:spacing w:line="320" w:lineRule="exact"/>
              <w:ind w:right="210" w:rightChars="100"/>
              <w:jc w:val="left"/>
              <w:rPr>
                <w:rFonts w:ascii="Times New Roman" w:hAnsi="Times New Roman" w:eastAsia="仿宋"/>
                <w:szCs w:val="21"/>
              </w:rPr>
            </w:pPr>
            <w:r>
              <w:rPr>
                <w:rFonts w:ascii="Times New Roman" w:hAnsi="Times New Roman" w:eastAsia="仿宋"/>
                <w:szCs w:val="21"/>
              </w:rPr>
              <w:t>1、</w:t>
            </w:r>
            <w:r>
              <w:rPr>
                <w:rFonts w:hint="eastAsia" w:ascii="Times New Roman" w:hAnsi="Times New Roman" w:eastAsia="仿宋"/>
                <w:szCs w:val="21"/>
              </w:rPr>
              <w:t>招标代理机构近三年内无有效投诉得</w:t>
            </w:r>
            <w:r>
              <w:rPr>
                <w:rFonts w:ascii="Times New Roman" w:hAnsi="Times New Roman" w:eastAsia="仿宋"/>
                <w:szCs w:val="21"/>
              </w:rPr>
              <w:t>7</w:t>
            </w:r>
            <w:r>
              <w:rPr>
                <w:rFonts w:hint="eastAsia" w:ascii="Times New Roman" w:hAnsi="Times New Roman" w:eastAsia="仿宋"/>
                <w:szCs w:val="21"/>
              </w:rPr>
              <w:t>分，有1-4个的得3分，有5个或以上的得0分</w:t>
            </w:r>
            <w:r>
              <w:rPr>
                <w:rFonts w:ascii="Times New Roman" w:hAnsi="Times New Roman" w:eastAsia="仿宋"/>
                <w:szCs w:val="21"/>
              </w:rPr>
              <w:t>；</w:t>
            </w:r>
            <w:r>
              <w:rPr>
                <w:rFonts w:ascii="Times New Roman" w:hAnsi="Times New Roman" w:eastAsia="仿宋"/>
                <w:szCs w:val="21"/>
                <w:lang w:eastAsia="zh-Hans"/>
              </w:rPr>
              <w:t>受到</w:t>
            </w:r>
            <w:r>
              <w:rPr>
                <w:rFonts w:hint="eastAsia" w:ascii="Times New Roman" w:hAnsi="Times New Roman" w:eastAsia="仿宋"/>
                <w:szCs w:val="21"/>
                <w:lang w:eastAsia="zh-Hans"/>
              </w:rPr>
              <w:t>部门处罚的得</w:t>
            </w:r>
            <w:r>
              <w:rPr>
                <w:rFonts w:ascii="Times New Roman" w:hAnsi="Times New Roman" w:eastAsia="仿宋"/>
                <w:szCs w:val="21"/>
                <w:lang w:eastAsia="zh-Hans"/>
              </w:rPr>
              <w:t>0</w:t>
            </w:r>
            <w:r>
              <w:rPr>
                <w:rFonts w:hint="eastAsia" w:ascii="Times New Roman" w:hAnsi="Times New Roman" w:eastAsia="仿宋"/>
                <w:szCs w:val="21"/>
                <w:lang w:eastAsia="zh-Hans"/>
              </w:rPr>
              <w:t>分</w:t>
            </w:r>
            <w:r>
              <w:rPr>
                <w:rFonts w:hint="eastAsia" w:ascii="Times New Roman" w:hAnsi="Times New Roman" w:eastAsia="仿宋"/>
                <w:szCs w:val="21"/>
              </w:rPr>
              <w:t>。（供应商对有效投诉次数</w:t>
            </w:r>
            <w:r>
              <w:rPr>
                <w:rFonts w:hint="eastAsia" w:ascii="Times New Roman" w:hAnsi="Times New Roman" w:eastAsia="仿宋"/>
                <w:szCs w:val="21"/>
                <w:lang w:eastAsia="zh-Hans"/>
              </w:rPr>
              <w:t>与是否受过财政处罚</w:t>
            </w:r>
            <w:r>
              <w:rPr>
                <w:rFonts w:hint="eastAsia" w:ascii="Times New Roman" w:hAnsi="Times New Roman" w:eastAsia="仿宋"/>
                <w:szCs w:val="21"/>
              </w:rPr>
              <w:t>进行书面声明，采购人将在网上查询或向财政部门进行复核。若虚假声明，将取消其成交资格。有效投诉是指投诉成立原因为代理机构编制文件、组织开标评审环节等为准）</w:t>
            </w:r>
            <w:r>
              <w:rPr>
                <w:rFonts w:ascii="Times New Roman" w:hAnsi="Times New Roman" w:eastAsia="仿宋"/>
                <w:szCs w:val="21"/>
              </w:rPr>
              <w:t>。</w:t>
            </w:r>
            <w:r>
              <w:rPr>
                <w:rFonts w:hint="eastAsia" w:ascii="Times New Roman" w:hAnsi="Times New Roman" w:eastAsia="仿宋"/>
                <w:szCs w:val="21"/>
              </w:rPr>
              <w:t>（提供承诺函）</w:t>
            </w:r>
          </w:p>
          <w:p w14:paraId="74565F5E">
            <w:pPr>
              <w:spacing w:line="320" w:lineRule="exact"/>
              <w:ind w:right="210" w:rightChars="100"/>
              <w:jc w:val="left"/>
              <w:rPr>
                <w:rFonts w:ascii="Times New Roman" w:hAnsi="Times New Roman" w:eastAsia="仿宋"/>
                <w:szCs w:val="21"/>
                <w:lang w:eastAsia="zh-Hans"/>
              </w:rPr>
            </w:pPr>
            <w:r>
              <w:rPr>
                <w:rFonts w:hint="eastAsia" w:ascii="Times New Roman" w:hAnsi="Times New Roman" w:eastAsia="仿宋"/>
                <w:szCs w:val="21"/>
              </w:rPr>
              <w:t>2、</w:t>
            </w:r>
            <w:r>
              <w:rPr>
                <w:rFonts w:hint="eastAsia" w:ascii="Times New Roman" w:hAnsi="Times New Roman" w:eastAsia="仿宋"/>
                <w:szCs w:val="21"/>
                <w:lang w:eastAsia="zh-Hans"/>
              </w:rPr>
              <w:t>代理机构近三年来获得重合同守信用</w:t>
            </w:r>
            <w:r>
              <w:rPr>
                <w:rFonts w:ascii="Times New Roman" w:hAnsi="Times New Roman" w:eastAsia="仿宋"/>
                <w:szCs w:val="21"/>
                <w:lang w:eastAsia="zh-Hans"/>
              </w:rPr>
              <w:t>、</w:t>
            </w:r>
            <w:r>
              <w:rPr>
                <w:rFonts w:hint="eastAsia" w:ascii="Times New Roman" w:hAnsi="Times New Roman" w:eastAsia="仿宋"/>
                <w:szCs w:val="21"/>
                <w:lang w:eastAsia="zh-Hans"/>
              </w:rPr>
              <w:t>质量服务诚信等级认证</w:t>
            </w:r>
            <w:r>
              <w:rPr>
                <w:rFonts w:ascii="Times New Roman" w:hAnsi="Times New Roman" w:eastAsia="仿宋"/>
                <w:szCs w:val="21"/>
                <w:lang w:eastAsia="zh-Hans"/>
              </w:rPr>
              <w:t>、政府采购领域信用</w:t>
            </w:r>
            <w:r>
              <w:rPr>
                <w:rFonts w:hint="eastAsia" w:ascii="Times New Roman" w:hAnsi="Times New Roman" w:eastAsia="仿宋"/>
                <w:szCs w:val="21"/>
                <w:lang w:eastAsia="zh-Hans"/>
              </w:rPr>
              <w:t>等级认证</w:t>
            </w:r>
            <w:r>
              <w:rPr>
                <w:rFonts w:ascii="Times New Roman" w:hAnsi="Times New Roman" w:eastAsia="仿宋"/>
                <w:szCs w:val="21"/>
                <w:lang w:eastAsia="zh-Hans"/>
              </w:rPr>
              <w:t>、质量管理体系认证、环境管理体系认证、职业健康安全管理体系认证，</w:t>
            </w:r>
            <w:r>
              <w:rPr>
                <w:rFonts w:hint="eastAsia" w:ascii="Times New Roman" w:hAnsi="Times New Roman" w:eastAsia="仿宋"/>
                <w:szCs w:val="21"/>
                <w:lang w:eastAsia="zh-Hans"/>
              </w:rPr>
              <w:t>每有一项得</w:t>
            </w:r>
            <w:r>
              <w:rPr>
                <w:rFonts w:ascii="Times New Roman" w:hAnsi="Times New Roman" w:eastAsia="仿宋"/>
                <w:szCs w:val="21"/>
                <w:lang w:eastAsia="zh-Hans"/>
              </w:rPr>
              <w:t>3</w:t>
            </w:r>
            <w:r>
              <w:rPr>
                <w:rFonts w:hint="eastAsia" w:ascii="Times New Roman" w:hAnsi="Times New Roman" w:eastAsia="仿宋"/>
                <w:szCs w:val="21"/>
                <w:lang w:eastAsia="zh-Hans"/>
              </w:rPr>
              <w:t>分</w:t>
            </w:r>
            <w:r>
              <w:rPr>
                <w:rFonts w:ascii="Times New Roman" w:hAnsi="Times New Roman" w:eastAsia="仿宋"/>
                <w:szCs w:val="21"/>
                <w:lang w:eastAsia="zh-Hans"/>
              </w:rPr>
              <w:t>，</w:t>
            </w:r>
            <w:r>
              <w:rPr>
                <w:rFonts w:hint="eastAsia" w:ascii="Times New Roman" w:hAnsi="Times New Roman" w:eastAsia="仿宋"/>
                <w:szCs w:val="21"/>
                <w:lang w:eastAsia="zh-Hans"/>
              </w:rPr>
              <w:t>最多得</w:t>
            </w:r>
            <w:r>
              <w:rPr>
                <w:rFonts w:ascii="Times New Roman" w:hAnsi="Times New Roman" w:eastAsia="仿宋"/>
                <w:szCs w:val="21"/>
                <w:lang w:eastAsia="zh-Hans"/>
              </w:rPr>
              <w:t>9</w:t>
            </w:r>
            <w:r>
              <w:rPr>
                <w:rFonts w:hint="eastAsia" w:ascii="Times New Roman" w:hAnsi="Times New Roman" w:eastAsia="仿宋"/>
                <w:szCs w:val="21"/>
                <w:lang w:eastAsia="zh-Hans"/>
              </w:rPr>
              <w:t>分</w:t>
            </w:r>
            <w:r>
              <w:rPr>
                <w:rFonts w:ascii="Times New Roman" w:hAnsi="Times New Roman" w:eastAsia="仿宋"/>
                <w:szCs w:val="21"/>
                <w:lang w:eastAsia="zh-Hans"/>
              </w:rPr>
              <w:t>。</w:t>
            </w:r>
          </w:p>
        </w:tc>
        <w:tc>
          <w:tcPr>
            <w:tcW w:w="965" w:type="pct"/>
            <w:vAlign w:val="center"/>
          </w:tcPr>
          <w:p w14:paraId="12B4709E">
            <w:pPr>
              <w:spacing w:line="320" w:lineRule="exact"/>
              <w:jc w:val="left"/>
              <w:rPr>
                <w:rFonts w:ascii="Times New Roman" w:hAnsi="Times New Roman" w:eastAsia="仿宋"/>
                <w:szCs w:val="21"/>
                <w:lang w:eastAsia="zh-Hans"/>
              </w:rPr>
            </w:pPr>
            <w:r>
              <w:rPr>
                <w:rFonts w:ascii="Times New Roman" w:hAnsi="Times New Roman" w:eastAsia="仿宋"/>
                <w:szCs w:val="21"/>
              </w:rPr>
              <w:t>1、</w:t>
            </w:r>
            <w:r>
              <w:rPr>
                <w:rFonts w:hint="eastAsia" w:ascii="Times New Roman" w:hAnsi="Times New Roman" w:eastAsia="仿宋"/>
                <w:szCs w:val="21"/>
                <w:lang w:eastAsia="zh-Hans"/>
              </w:rPr>
              <w:t>提供承诺函</w:t>
            </w:r>
            <w:r>
              <w:rPr>
                <w:rFonts w:ascii="Times New Roman" w:hAnsi="Times New Roman" w:eastAsia="仿宋"/>
                <w:szCs w:val="21"/>
                <w:lang w:eastAsia="zh-Hans"/>
              </w:rPr>
              <w:t>；</w:t>
            </w:r>
          </w:p>
          <w:p w14:paraId="4D38F8A6">
            <w:pPr>
              <w:spacing w:line="320" w:lineRule="exact"/>
              <w:jc w:val="left"/>
              <w:rPr>
                <w:rFonts w:ascii="Times New Roman" w:hAnsi="Times New Roman" w:eastAsia="仿宋"/>
                <w:szCs w:val="21"/>
              </w:rPr>
            </w:pPr>
            <w:r>
              <w:rPr>
                <w:rFonts w:ascii="Times New Roman" w:hAnsi="Times New Roman" w:eastAsia="仿宋"/>
                <w:szCs w:val="21"/>
                <w:lang w:eastAsia="zh-Hans"/>
              </w:rPr>
              <w:t>2、</w:t>
            </w:r>
            <w:r>
              <w:rPr>
                <w:rFonts w:ascii="Times New Roman" w:hAnsi="Times New Roman" w:eastAsia="仿宋"/>
                <w:szCs w:val="21"/>
              </w:rPr>
              <w:t>信誉及体系认证提供相关证书复印件加盖比选人公章。</w:t>
            </w:r>
          </w:p>
        </w:tc>
        <w:tc>
          <w:tcPr>
            <w:tcW w:w="527" w:type="pct"/>
            <w:vAlign w:val="center"/>
          </w:tcPr>
          <w:p w14:paraId="30197237">
            <w:pPr>
              <w:spacing w:line="320" w:lineRule="exact"/>
              <w:jc w:val="left"/>
              <w:rPr>
                <w:rFonts w:ascii="Times New Roman" w:hAnsi="Times New Roman" w:eastAsia="仿宋"/>
                <w:szCs w:val="21"/>
                <w:lang w:eastAsia="zh-Hans"/>
              </w:rPr>
            </w:pPr>
          </w:p>
        </w:tc>
      </w:tr>
      <w:tr w14:paraId="100A38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35" w:hRule="atLeast"/>
          <w:jc w:val="center"/>
        </w:trPr>
        <w:tc>
          <w:tcPr>
            <w:tcW w:w="611" w:type="pct"/>
            <w:vAlign w:val="center"/>
          </w:tcPr>
          <w:p w14:paraId="52091A32">
            <w:pPr>
              <w:spacing w:line="400" w:lineRule="exact"/>
              <w:jc w:val="center"/>
              <w:rPr>
                <w:rFonts w:ascii="Times New Roman" w:hAnsi="Times New Roman" w:eastAsia="仿宋"/>
                <w:sz w:val="24"/>
              </w:rPr>
            </w:pPr>
            <w:r>
              <w:rPr>
                <w:rFonts w:ascii="Times New Roman" w:hAnsi="Times New Roman" w:eastAsia="仿宋"/>
                <w:sz w:val="24"/>
              </w:rPr>
              <w:t>从业人员</w:t>
            </w:r>
          </w:p>
        </w:tc>
        <w:tc>
          <w:tcPr>
            <w:tcW w:w="557" w:type="pct"/>
            <w:vAlign w:val="center"/>
          </w:tcPr>
          <w:p w14:paraId="3CFC95B3">
            <w:pPr>
              <w:spacing w:line="400" w:lineRule="exact"/>
              <w:ind w:right="210" w:rightChars="100"/>
              <w:jc w:val="center"/>
              <w:rPr>
                <w:rFonts w:ascii="Times New Roman" w:hAnsi="Times New Roman" w:eastAsia="仿宋"/>
                <w:sz w:val="24"/>
              </w:rPr>
            </w:pPr>
            <w:r>
              <w:rPr>
                <w:rFonts w:ascii="Times New Roman" w:hAnsi="Times New Roman" w:eastAsia="仿宋"/>
                <w:sz w:val="24"/>
              </w:rPr>
              <w:t>9分</w:t>
            </w:r>
          </w:p>
        </w:tc>
        <w:tc>
          <w:tcPr>
            <w:tcW w:w="2338" w:type="pct"/>
            <w:gridSpan w:val="2"/>
            <w:vAlign w:val="center"/>
          </w:tcPr>
          <w:p w14:paraId="6077E61B">
            <w:pPr>
              <w:spacing w:line="320" w:lineRule="exact"/>
              <w:ind w:right="210" w:rightChars="100"/>
              <w:jc w:val="left"/>
              <w:rPr>
                <w:rFonts w:ascii="Times New Roman" w:hAnsi="Times New Roman" w:eastAsia="仿宋"/>
                <w:szCs w:val="21"/>
              </w:rPr>
            </w:pPr>
            <w:r>
              <w:rPr>
                <w:rFonts w:ascii="Times New Roman" w:hAnsi="Times New Roman" w:eastAsia="仿宋"/>
                <w:szCs w:val="21"/>
              </w:rPr>
              <w:t>项目负责人、专职技术人员具有四川省政府采购代理机构专职人员继续教育培训合格证书，有1个得3分，最多得9分（因四川省政府采购代理机构专职人员继续教育培训合格证书已延期办理，</w:t>
            </w:r>
            <w:r>
              <w:rPr>
                <w:rFonts w:ascii="Times New Roman" w:hAnsi="Times New Roman" w:eastAsia="仿宋"/>
                <w:szCs w:val="21"/>
                <w:highlight w:val="none"/>
              </w:rPr>
              <w:t>2020</w:t>
            </w:r>
            <w:r>
              <w:rPr>
                <w:rFonts w:ascii="Times New Roman" w:hAnsi="Times New Roman" w:eastAsia="仿宋"/>
                <w:szCs w:val="21"/>
              </w:rPr>
              <w:t>年后证书均予以认可）</w:t>
            </w:r>
          </w:p>
        </w:tc>
        <w:tc>
          <w:tcPr>
            <w:tcW w:w="965" w:type="pct"/>
            <w:vAlign w:val="center"/>
          </w:tcPr>
          <w:p w14:paraId="7E8C9047">
            <w:pPr>
              <w:spacing w:line="320" w:lineRule="exact"/>
              <w:jc w:val="left"/>
              <w:rPr>
                <w:rFonts w:ascii="Times New Roman" w:hAnsi="Times New Roman" w:eastAsia="仿宋"/>
                <w:szCs w:val="21"/>
              </w:rPr>
            </w:pPr>
            <w:r>
              <w:rPr>
                <w:rFonts w:ascii="Times New Roman" w:hAnsi="Times New Roman" w:eastAsia="仿宋"/>
                <w:szCs w:val="21"/>
              </w:rPr>
              <w:t>以上人员须为代理公司本单位人员。须提供加盖公章的人员信息表、培训合格证书复印件和202</w:t>
            </w:r>
            <w:r>
              <w:rPr>
                <w:rFonts w:hint="eastAsia" w:ascii="Times New Roman" w:hAnsi="Times New Roman" w:eastAsia="仿宋"/>
                <w:szCs w:val="21"/>
                <w:lang w:val="en-US" w:eastAsia="zh-CN"/>
              </w:rPr>
              <w:t>4</w:t>
            </w:r>
            <w:r>
              <w:rPr>
                <w:rFonts w:ascii="Times New Roman" w:hAnsi="Times New Roman" w:eastAsia="仿宋"/>
                <w:szCs w:val="21"/>
              </w:rPr>
              <w:t>年至今任意</w:t>
            </w:r>
            <w:r>
              <w:rPr>
                <w:rFonts w:ascii="Times New Roman" w:hAnsi="Times New Roman" w:eastAsia="PMingLiU"/>
                <w:szCs w:val="21"/>
                <w:lang w:eastAsia="zh-TW"/>
              </w:rPr>
              <w:t>六</w:t>
            </w:r>
            <w:r>
              <w:rPr>
                <w:rFonts w:ascii="Times New Roman" w:hAnsi="Times New Roman" w:eastAsia="仿宋"/>
                <w:szCs w:val="21"/>
              </w:rPr>
              <w:t>月人员的社保缴纳证明等复印件。</w:t>
            </w:r>
          </w:p>
        </w:tc>
        <w:tc>
          <w:tcPr>
            <w:tcW w:w="527" w:type="pct"/>
            <w:vAlign w:val="center"/>
          </w:tcPr>
          <w:p w14:paraId="7975B3A8">
            <w:pPr>
              <w:spacing w:line="320" w:lineRule="exact"/>
              <w:jc w:val="left"/>
              <w:rPr>
                <w:rFonts w:ascii="Times New Roman" w:hAnsi="Times New Roman" w:eastAsia="仿宋"/>
                <w:szCs w:val="21"/>
              </w:rPr>
            </w:pPr>
          </w:p>
        </w:tc>
      </w:tr>
      <w:tr w14:paraId="37E62F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35" w:hRule="atLeast"/>
          <w:jc w:val="center"/>
        </w:trPr>
        <w:tc>
          <w:tcPr>
            <w:tcW w:w="611" w:type="pct"/>
            <w:vAlign w:val="center"/>
          </w:tcPr>
          <w:p w14:paraId="762F7F4C">
            <w:pPr>
              <w:spacing w:line="400" w:lineRule="exact"/>
              <w:jc w:val="center"/>
              <w:rPr>
                <w:rFonts w:ascii="Times New Roman" w:hAnsi="Times New Roman" w:eastAsia="仿宋"/>
                <w:sz w:val="24"/>
              </w:rPr>
            </w:pPr>
            <w:r>
              <w:rPr>
                <w:rFonts w:ascii="Times New Roman" w:hAnsi="Times New Roman" w:eastAsia="仿宋"/>
                <w:sz w:val="24"/>
              </w:rPr>
              <w:t>招标代理</w:t>
            </w:r>
          </w:p>
          <w:p w14:paraId="68F94113">
            <w:pPr>
              <w:spacing w:line="400" w:lineRule="exact"/>
              <w:jc w:val="center"/>
              <w:rPr>
                <w:rFonts w:ascii="Times New Roman" w:hAnsi="Times New Roman" w:eastAsia="仿宋"/>
                <w:sz w:val="24"/>
              </w:rPr>
            </w:pPr>
            <w:r>
              <w:rPr>
                <w:rFonts w:ascii="Times New Roman" w:hAnsi="Times New Roman" w:eastAsia="仿宋"/>
                <w:sz w:val="24"/>
              </w:rPr>
              <w:t>方案</w:t>
            </w:r>
          </w:p>
        </w:tc>
        <w:tc>
          <w:tcPr>
            <w:tcW w:w="557" w:type="pct"/>
            <w:vAlign w:val="center"/>
          </w:tcPr>
          <w:p w14:paraId="62410A8C">
            <w:pPr>
              <w:spacing w:line="400" w:lineRule="exact"/>
              <w:jc w:val="center"/>
              <w:rPr>
                <w:rFonts w:ascii="Times New Roman" w:hAnsi="Times New Roman" w:eastAsia="仿宋"/>
                <w:sz w:val="24"/>
              </w:rPr>
            </w:pPr>
            <w:r>
              <w:rPr>
                <w:rFonts w:ascii="Times New Roman" w:hAnsi="Times New Roman" w:eastAsia="仿宋"/>
                <w:sz w:val="24"/>
              </w:rPr>
              <w:t>30分</w:t>
            </w:r>
          </w:p>
        </w:tc>
        <w:tc>
          <w:tcPr>
            <w:tcW w:w="2338" w:type="pct"/>
            <w:gridSpan w:val="2"/>
            <w:vAlign w:val="center"/>
          </w:tcPr>
          <w:p w14:paraId="55D698EA">
            <w:pPr>
              <w:spacing w:line="320" w:lineRule="exact"/>
              <w:jc w:val="left"/>
              <w:rPr>
                <w:rFonts w:ascii="Times New Roman" w:hAnsi="Times New Roman" w:eastAsia="仿宋"/>
                <w:szCs w:val="21"/>
              </w:rPr>
            </w:pPr>
            <w:r>
              <w:rPr>
                <w:rFonts w:ascii="Times New Roman" w:hAnsi="Times New Roman" w:eastAsia="仿宋"/>
                <w:szCs w:val="21"/>
              </w:rPr>
              <w:t>本采购代理实施方案至少应包含：（1）项目理解及代理基本操作程序；（2）代理工作思路及质量内部控制措施</w:t>
            </w:r>
            <w:r>
              <w:rPr>
                <w:rFonts w:hint="eastAsia" w:ascii="Times New Roman" w:hAnsi="Times New Roman" w:eastAsia="仿宋"/>
                <w:szCs w:val="21"/>
              </w:rPr>
              <w:t>（含保密措施）</w:t>
            </w:r>
            <w:r>
              <w:rPr>
                <w:rFonts w:ascii="Times New Roman" w:hAnsi="Times New Roman" w:eastAsia="仿宋"/>
                <w:szCs w:val="21"/>
              </w:rPr>
              <w:t>；（3）工作人员廉洁管理措施；（4）质量保障措施；（5）进度保障措施；（6）档案管理。</w:t>
            </w:r>
          </w:p>
          <w:p w14:paraId="4F236BCA">
            <w:pPr>
              <w:spacing w:line="320" w:lineRule="exact"/>
              <w:jc w:val="left"/>
              <w:rPr>
                <w:rFonts w:ascii="Times New Roman" w:hAnsi="Times New Roman" w:eastAsia="仿宋"/>
                <w:szCs w:val="21"/>
              </w:rPr>
            </w:pPr>
            <w:r>
              <w:rPr>
                <w:rFonts w:ascii="Times New Roman" w:hAnsi="Times New Roman" w:eastAsia="仿宋"/>
                <w:szCs w:val="21"/>
              </w:rPr>
              <w:t>以上六项每缺少一项的扣5分；招标代理方案每有一处内容存在与政府采购项目特点不符或逻辑不清或内容前后矛盾等不规范情况的扣3分，扣完为止。不提供不得分。</w:t>
            </w:r>
          </w:p>
        </w:tc>
        <w:tc>
          <w:tcPr>
            <w:tcW w:w="965" w:type="pct"/>
            <w:vAlign w:val="center"/>
          </w:tcPr>
          <w:p w14:paraId="14A10A1F">
            <w:pPr>
              <w:spacing w:line="320" w:lineRule="exact"/>
              <w:jc w:val="left"/>
              <w:rPr>
                <w:rFonts w:ascii="Times New Roman" w:hAnsi="Times New Roman" w:eastAsia="仿宋"/>
                <w:szCs w:val="21"/>
              </w:rPr>
            </w:pPr>
            <w:r>
              <w:rPr>
                <w:rFonts w:ascii="Times New Roman" w:hAnsi="Times New Roman" w:eastAsia="仿宋"/>
                <w:szCs w:val="21"/>
              </w:rPr>
              <w:t>对比选报名文件中的招标代理方案综合评价。</w:t>
            </w:r>
          </w:p>
        </w:tc>
        <w:tc>
          <w:tcPr>
            <w:tcW w:w="527" w:type="pct"/>
            <w:vAlign w:val="center"/>
          </w:tcPr>
          <w:p w14:paraId="6FED0C34">
            <w:pPr>
              <w:spacing w:line="320" w:lineRule="exact"/>
              <w:jc w:val="left"/>
              <w:rPr>
                <w:rFonts w:ascii="Times New Roman" w:hAnsi="Times New Roman" w:eastAsia="仿宋"/>
                <w:szCs w:val="21"/>
              </w:rPr>
            </w:pPr>
          </w:p>
        </w:tc>
      </w:tr>
      <w:tr w14:paraId="172A2D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35" w:hRule="atLeast"/>
          <w:jc w:val="center"/>
        </w:trPr>
        <w:tc>
          <w:tcPr>
            <w:tcW w:w="611" w:type="pct"/>
            <w:vAlign w:val="center"/>
          </w:tcPr>
          <w:p w14:paraId="3043ED8A">
            <w:pPr>
              <w:spacing w:line="400" w:lineRule="exact"/>
              <w:jc w:val="center"/>
              <w:rPr>
                <w:rFonts w:ascii="Times New Roman" w:hAnsi="Times New Roman" w:eastAsia="仿宋" w:cs="仿宋"/>
                <w:sz w:val="24"/>
                <w:lang w:eastAsia="zh-Hans"/>
              </w:rPr>
            </w:pPr>
            <w:r>
              <w:rPr>
                <w:rFonts w:hint="eastAsia" w:ascii="Times New Roman" w:hAnsi="Times New Roman" w:eastAsia="仿宋" w:cs="仿宋"/>
                <w:sz w:val="24"/>
                <w:lang w:eastAsia="zh-Hans"/>
              </w:rPr>
              <w:t>报价</w:t>
            </w:r>
          </w:p>
        </w:tc>
        <w:tc>
          <w:tcPr>
            <w:tcW w:w="557" w:type="pct"/>
            <w:tcBorders>
              <w:right w:val="single" w:color="auto" w:sz="4" w:space="0"/>
            </w:tcBorders>
            <w:vAlign w:val="center"/>
          </w:tcPr>
          <w:p w14:paraId="6128B368">
            <w:pPr>
              <w:spacing w:line="400" w:lineRule="exact"/>
              <w:jc w:val="center"/>
              <w:rPr>
                <w:rFonts w:ascii="Times New Roman" w:hAnsi="Times New Roman" w:eastAsia="仿宋" w:cs="仿宋"/>
                <w:sz w:val="24"/>
                <w:lang w:eastAsia="zh-Hans"/>
              </w:rPr>
            </w:pPr>
            <w:r>
              <w:rPr>
                <w:rFonts w:hint="eastAsia" w:ascii="Times New Roman" w:hAnsi="Times New Roman" w:eastAsia="仿宋" w:cs="仿宋"/>
                <w:sz w:val="24"/>
              </w:rPr>
              <w:t>10</w:t>
            </w:r>
            <w:r>
              <w:rPr>
                <w:rFonts w:hint="eastAsia" w:ascii="Times New Roman" w:hAnsi="Times New Roman" w:eastAsia="仿宋" w:cs="仿宋"/>
                <w:sz w:val="24"/>
                <w:lang w:eastAsia="zh-Hans"/>
              </w:rPr>
              <w:t>分</w:t>
            </w:r>
          </w:p>
        </w:tc>
        <w:tc>
          <w:tcPr>
            <w:tcW w:w="2338" w:type="pct"/>
            <w:gridSpan w:val="2"/>
            <w:tcBorders>
              <w:left w:val="single" w:color="auto" w:sz="4" w:space="0"/>
            </w:tcBorders>
            <w:vAlign w:val="center"/>
          </w:tcPr>
          <w:p w14:paraId="065DCDB0">
            <w:pPr>
              <w:spacing w:line="320" w:lineRule="exact"/>
              <w:jc w:val="left"/>
              <w:rPr>
                <w:rFonts w:ascii="Times New Roman" w:hAnsi="Times New Roman" w:eastAsia="仿宋" w:cs="仿宋"/>
                <w:szCs w:val="21"/>
              </w:rPr>
            </w:pPr>
            <w:r>
              <w:rPr>
                <w:rFonts w:hint="eastAsia" w:ascii="Times New Roman" w:hAnsi="Times New Roman" w:eastAsia="仿宋" w:cs="仿宋"/>
                <w:kern w:val="0"/>
                <w:szCs w:val="21"/>
              </w:rPr>
              <w:t>参照</w:t>
            </w:r>
            <w:r>
              <w:rPr>
                <w:rFonts w:hint="eastAsia" w:ascii="Times New Roman" w:hAnsi="Times New Roman" w:eastAsia="仿宋" w:cs="仿宋"/>
                <w:kern w:val="0"/>
                <w:szCs w:val="21"/>
                <w:lang w:eastAsia="zh-CN"/>
              </w:rPr>
              <w:t>国家发展改革委</w:t>
            </w:r>
            <w:r>
              <w:rPr>
                <w:rFonts w:hint="eastAsia" w:ascii="Times New Roman" w:hAnsi="Times New Roman" w:eastAsia="仿宋" w:cs="仿宋"/>
                <w:kern w:val="0"/>
                <w:szCs w:val="21"/>
              </w:rPr>
              <w:t>《招标代理服务收费管理暂行办法》（计价格</w:t>
            </w:r>
            <w:r>
              <w:rPr>
                <w:rFonts w:hint="eastAsia" w:ascii="Times New Roman" w:hAnsi="Times New Roman" w:eastAsia="仿宋" w:cs="仿宋"/>
                <w:kern w:val="0"/>
                <w:szCs w:val="21"/>
                <w:lang w:eastAsia="zh-CN"/>
              </w:rPr>
              <w:t>〔2002〕1980号</w:t>
            </w:r>
            <w:r>
              <w:rPr>
                <w:rFonts w:hint="eastAsia" w:ascii="Times New Roman" w:hAnsi="Times New Roman" w:eastAsia="仿宋" w:cs="仿宋"/>
                <w:kern w:val="0"/>
                <w:szCs w:val="21"/>
              </w:rPr>
              <w:t>）规定的收费标准，每下浮1%，加0</w:t>
            </w:r>
            <w:r>
              <w:rPr>
                <w:rFonts w:hint="eastAsia" w:ascii="Times New Roman" w:hAnsi="Times New Roman" w:eastAsia="仿宋" w:cs="仿宋"/>
                <w:kern w:val="0"/>
                <w:szCs w:val="21"/>
                <w:lang w:eastAsia="zh-Hans"/>
              </w:rPr>
              <w:t>.5</w:t>
            </w:r>
            <w:r>
              <w:rPr>
                <w:rFonts w:hint="eastAsia" w:ascii="Times New Roman" w:hAnsi="Times New Roman" w:eastAsia="仿宋" w:cs="仿宋"/>
                <w:kern w:val="0"/>
                <w:szCs w:val="21"/>
              </w:rPr>
              <w:t>分，满分10分，上浮不得分。</w:t>
            </w:r>
          </w:p>
        </w:tc>
        <w:tc>
          <w:tcPr>
            <w:tcW w:w="965" w:type="pct"/>
            <w:vAlign w:val="center"/>
          </w:tcPr>
          <w:p w14:paraId="41D44748">
            <w:pPr>
              <w:spacing w:line="320" w:lineRule="exact"/>
              <w:jc w:val="left"/>
              <w:rPr>
                <w:rFonts w:ascii="Times New Roman" w:hAnsi="Times New Roman" w:eastAsia="仿宋"/>
                <w:szCs w:val="21"/>
                <w:lang w:eastAsia="zh-Hans"/>
              </w:rPr>
            </w:pPr>
            <w:r>
              <w:rPr>
                <w:rFonts w:hint="eastAsia" w:ascii="Times New Roman" w:hAnsi="Times New Roman" w:eastAsia="仿宋"/>
                <w:szCs w:val="21"/>
                <w:lang w:eastAsia="zh-Hans"/>
              </w:rPr>
              <w:t>按照报价函要求进行评审</w:t>
            </w:r>
            <w:r>
              <w:rPr>
                <w:rFonts w:ascii="Times New Roman" w:hAnsi="Times New Roman" w:eastAsia="仿宋"/>
                <w:szCs w:val="21"/>
                <w:lang w:eastAsia="zh-Hans"/>
              </w:rPr>
              <w:t>。</w:t>
            </w:r>
          </w:p>
        </w:tc>
        <w:tc>
          <w:tcPr>
            <w:tcW w:w="527" w:type="pct"/>
            <w:vAlign w:val="center"/>
          </w:tcPr>
          <w:p w14:paraId="2EE0AC6E">
            <w:pPr>
              <w:spacing w:line="320" w:lineRule="exact"/>
              <w:jc w:val="left"/>
              <w:rPr>
                <w:rFonts w:hint="eastAsia" w:ascii="Times New Roman" w:hAnsi="Times New Roman" w:eastAsia="仿宋"/>
                <w:szCs w:val="21"/>
                <w:lang w:eastAsia="zh-Hans"/>
              </w:rPr>
            </w:pPr>
          </w:p>
        </w:tc>
      </w:tr>
      <w:tr w14:paraId="417F1A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2" w:hRule="atLeast"/>
          <w:jc w:val="center"/>
        </w:trPr>
        <w:tc>
          <w:tcPr>
            <w:tcW w:w="611" w:type="pct"/>
            <w:vAlign w:val="center"/>
          </w:tcPr>
          <w:p w14:paraId="3E66A51F">
            <w:pPr>
              <w:spacing w:line="240" w:lineRule="atLeast"/>
              <w:jc w:val="center"/>
              <w:rPr>
                <w:rFonts w:ascii="Times New Roman" w:hAnsi="Times New Roman" w:eastAsia="黑体"/>
                <w:sz w:val="24"/>
              </w:rPr>
            </w:pPr>
            <w:r>
              <w:rPr>
                <w:rFonts w:ascii="Times New Roman" w:hAnsi="Times New Roman" w:eastAsia="黑体"/>
                <w:sz w:val="24"/>
              </w:rPr>
              <w:t>总分</w:t>
            </w:r>
          </w:p>
        </w:tc>
        <w:tc>
          <w:tcPr>
            <w:tcW w:w="559" w:type="pct"/>
            <w:gridSpan w:val="2"/>
            <w:tcBorders>
              <w:right w:val="single" w:color="auto" w:sz="4" w:space="0"/>
            </w:tcBorders>
            <w:vAlign w:val="center"/>
          </w:tcPr>
          <w:p w14:paraId="48D340EA">
            <w:pPr>
              <w:spacing w:line="240" w:lineRule="atLeast"/>
              <w:jc w:val="center"/>
              <w:rPr>
                <w:rFonts w:hint="default" w:ascii="Times New Roman" w:hAnsi="Times New Roman" w:eastAsia="黑体"/>
                <w:sz w:val="24"/>
                <w:lang w:val="en-US" w:eastAsia="zh-CN"/>
              </w:rPr>
            </w:pPr>
            <w:r>
              <w:rPr>
                <w:rFonts w:hint="eastAsia" w:ascii="Times New Roman" w:hAnsi="Times New Roman" w:eastAsia="黑体"/>
                <w:sz w:val="24"/>
                <w:lang w:val="en-US" w:eastAsia="zh-CN"/>
              </w:rPr>
              <w:t>100分</w:t>
            </w:r>
          </w:p>
        </w:tc>
        <w:tc>
          <w:tcPr>
            <w:tcW w:w="3300" w:type="pct"/>
            <w:gridSpan w:val="2"/>
            <w:tcBorders>
              <w:left w:val="single" w:color="auto" w:sz="4" w:space="0"/>
            </w:tcBorders>
            <w:vAlign w:val="center"/>
          </w:tcPr>
          <w:p w14:paraId="5165E370">
            <w:pPr>
              <w:spacing w:line="240" w:lineRule="atLeast"/>
              <w:jc w:val="center"/>
              <w:rPr>
                <w:rFonts w:ascii="Times New Roman" w:hAnsi="Times New Roman" w:eastAsia="黑体"/>
                <w:sz w:val="24"/>
              </w:rPr>
            </w:pPr>
          </w:p>
        </w:tc>
        <w:tc>
          <w:tcPr>
            <w:tcW w:w="527" w:type="pct"/>
            <w:vAlign w:val="center"/>
          </w:tcPr>
          <w:p w14:paraId="342FBD06">
            <w:pPr>
              <w:spacing w:line="240" w:lineRule="atLeast"/>
              <w:jc w:val="center"/>
              <w:rPr>
                <w:rFonts w:ascii="Times New Roman" w:hAnsi="Times New Roman" w:eastAsia="黑体"/>
                <w:sz w:val="24"/>
              </w:rPr>
            </w:pPr>
          </w:p>
        </w:tc>
      </w:tr>
    </w:tbl>
    <w:p w14:paraId="3C755A1F">
      <w:pPr>
        <w:pStyle w:val="2"/>
        <w:rPr>
          <w:rFonts w:ascii="Times New Roman" w:hAnsi="Times New Roman" w:eastAsia="仿宋"/>
          <w:color w:val="000000" w:themeColor="text1"/>
          <w:sz w:val="32"/>
          <w:szCs w:val="32"/>
          <w14:textFill>
            <w14:solidFill>
              <w14:schemeClr w14:val="tx1"/>
            </w14:solidFill>
          </w14:textFill>
        </w:rPr>
      </w:pPr>
    </w:p>
    <w:p w14:paraId="0276EA08"/>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AAB86D5-979E-4BBC-BBE0-3E5C7F80517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5440BCE3-8913-4D05-A9DE-5F0C4869434D}"/>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E537DA7E-E9A1-4396-96B5-09440E7B78D2}"/>
  </w:font>
  <w:font w:name="方正公文小标宋">
    <w:panose1 w:val="02000500000000000000"/>
    <w:charset w:val="86"/>
    <w:family w:val="auto"/>
    <w:pitch w:val="default"/>
    <w:sig w:usb0="A00002BF" w:usb1="38CF7CFA" w:usb2="00000016" w:usb3="00000000" w:csb0="00040001" w:csb1="00000000"/>
    <w:embedRegular r:id="rId4" w:fontKey="{20489E7B-0FAE-45B5-809D-C79E16F59A76}"/>
  </w:font>
  <w:font w:name="PMingLiU">
    <w:altName w:val="PMingLiU-ExtB"/>
    <w:panose1 w:val="02020500000000000000"/>
    <w:charset w:val="88"/>
    <w:family w:val="roman"/>
    <w:pitch w:val="default"/>
    <w:sig w:usb0="00000000" w:usb1="00000000" w:usb2="00000016" w:usb3="00000000" w:csb0="00100001" w:csb1="00000000"/>
    <w:embedRegular r:id="rId5" w:fontKey="{2C0E4CBB-5EBC-4859-A834-4134A60184EF}"/>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3MDFmMWFkYTg3NWFkOGNmMjQ2MzgxNDJhMjQ4M2YifQ=="/>
    <w:docVar w:name="KSO_WPS_MARK_KEY" w:val="370eab67-a021-42ca-a7d1-b2ac97b083a0"/>
  </w:docVars>
  <w:rsids>
    <w:rsidRoot w:val="00630C83"/>
    <w:rsid w:val="00003C77"/>
    <w:rsid w:val="000109A6"/>
    <w:rsid w:val="00016501"/>
    <w:rsid w:val="0003280D"/>
    <w:rsid w:val="00043E05"/>
    <w:rsid w:val="0004422D"/>
    <w:rsid w:val="0005008E"/>
    <w:rsid w:val="00053DED"/>
    <w:rsid w:val="00054499"/>
    <w:rsid w:val="000607B5"/>
    <w:rsid w:val="000731BD"/>
    <w:rsid w:val="00075D62"/>
    <w:rsid w:val="00077207"/>
    <w:rsid w:val="000911AA"/>
    <w:rsid w:val="000A1EBC"/>
    <w:rsid w:val="000A7B53"/>
    <w:rsid w:val="000C0ADE"/>
    <w:rsid w:val="000D08DE"/>
    <w:rsid w:val="000D3E39"/>
    <w:rsid w:val="000D6703"/>
    <w:rsid w:val="000E1C3D"/>
    <w:rsid w:val="000F1746"/>
    <w:rsid w:val="00101FC4"/>
    <w:rsid w:val="00104908"/>
    <w:rsid w:val="00132244"/>
    <w:rsid w:val="00132875"/>
    <w:rsid w:val="00133313"/>
    <w:rsid w:val="00134103"/>
    <w:rsid w:val="00143DDE"/>
    <w:rsid w:val="001449FE"/>
    <w:rsid w:val="00160106"/>
    <w:rsid w:val="001646BA"/>
    <w:rsid w:val="00166B7D"/>
    <w:rsid w:val="00192C92"/>
    <w:rsid w:val="0019470F"/>
    <w:rsid w:val="00195494"/>
    <w:rsid w:val="001A5F3B"/>
    <w:rsid w:val="001A6DE8"/>
    <w:rsid w:val="001B245C"/>
    <w:rsid w:val="001C6995"/>
    <w:rsid w:val="001D5BEE"/>
    <w:rsid w:val="001D7580"/>
    <w:rsid w:val="001F66BF"/>
    <w:rsid w:val="002023BA"/>
    <w:rsid w:val="0020347A"/>
    <w:rsid w:val="00207FB7"/>
    <w:rsid w:val="0021245C"/>
    <w:rsid w:val="002213A3"/>
    <w:rsid w:val="00221514"/>
    <w:rsid w:val="00224AF3"/>
    <w:rsid w:val="00225B8C"/>
    <w:rsid w:val="00241778"/>
    <w:rsid w:val="00265047"/>
    <w:rsid w:val="00283D28"/>
    <w:rsid w:val="002A2770"/>
    <w:rsid w:val="002E1544"/>
    <w:rsid w:val="002E28DF"/>
    <w:rsid w:val="002E7279"/>
    <w:rsid w:val="002F4B5F"/>
    <w:rsid w:val="003026FD"/>
    <w:rsid w:val="00307815"/>
    <w:rsid w:val="003129B6"/>
    <w:rsid w:val="0031456C"/>
    <w:rsid w:val="00346250"/>
    <w:rsid w:val="00350D55"/>
    <w:rsid w:val="00385230"/>
    <w:rsid w:val="00385255"/>
    <w:rsid w:val="003C32F6"/>
    <w:rsid w:val="003E1E18"/>
    <w:rsid w:val="003E2667"/>
    <w:rsid w:val="003F4B63"/>
    <w:rsid w:val="0041400B"/>
    <w:rsid w:val="00445CB3"/>
    <w:rsid w:val="00455EBA"/>
    <w:rsid w:val="00480D05"/>
    <w:rsid w:val="00495DCD"/>
    <w:rsid w:val="004B4470"/>
    <w:rsid w:val="004D01D2"/>
    <w:rsid w:val="004D5456"/>
    <w:rsid w:val="004E3853"/>
    <w:rsid w:val="004E4386"/>
    <w:rsid w:val="00503CF2"/>
    <w:rsid w:val="0051767A"/>
    <w:rsid w:val="00537E8C"/>
    <w:rsid w:val="00574966"/>
    <w:rsid w:val="0057687E"/>
    <w:rsid w:val="00585A6F"/>
    <w:rsid w:val="00590B8A"/>
    <w:rsid w:val="00593601"/>
    <w:rsid w:val="005945A6"/>
    <w:rsid w:val="005C2116"/>
    <w:rsid w:val="005D1954"/>
    <w:rsid w:val="005D2E85"/>
    <w:rsid w:val="006221D6"/>
    <w:rsid w:val="00630C83"/>
    <w:rsid w:val="00643523"/>
    <w:rsid w:val="00652A8C"/>
    <w:rsid w:val="00662FB7"/>
    <w:rsid w:val="0066484B"/>
    <w:rsid w:val="006672CA"/>
    <w:rsid w:val="0068661C"/>
    <w:rsid w:val="00694B06"/>
    <w:rsid w:val="006A439A"/>
    <w:rsid w:val="006A4CA8"/>
    <w:rsid w:val="006B30A0"/>
    <w:rsid w:val="006F7621"/>
    <w:rsid w:val="007368B5"/>
    <w:rsid w:val="0074259D"/>
    <w:rsid w:val="00747457"/>
    <w:rsid w:val="00790CAA"/>
    <w:rsid w:val="007912EB"/>
    <w:rsid w:val="007A01B5"/>
    <w:rsid w:val="007B78A8"/>
    <w:rsid w:val="007C223F"/>
    <w:rsid w:val="007C4F42"/>
    <w:rsid w:val="007D2218"/>
    <w:rsid w:val="007D5799"/>
    <w:rsid w:val="00825143"/>
    <w:rsid w:val="00844F08"/>
    <w:rsid w:val="00860717"/>
    <w:rsid w:val="008723DA"/>
    <w:rsid w:val="0087570C"/>
    <w:rsid w:val="00884657"/>
    <w:rsid w:val="008A725D"/>
    <w:rsid w:val="008B1060"/>
    <w:rsid w:val="008B5E8D"/>
    <w:rsid w:val="008D31EA"/>
    <w:rsid w:val="0091794C"/>
    <w:rsid w:val="00921936"/>
    <w:rsid w:val="00921E6D"/>
    <w:rsid w:val="00943E61"/>
    <w:rsid w:val="009470A9"/>
    <w:rsid w:val="00960698"/>
    <w:rsid w:val="00974923"/>
    <w:rsid w:val="0098057C"/>
    <w:rsid w:val="00980902"/>
    <w:rsid w:val="00984A9B"/>
    <w:rsid w:val="009A1FEE"/>
    <w:rsid w:val="009B238A"/>
    <w:rsid w:val="009C2828"/>
    <w:rsid w:val="009D2C3E"/>
    <w:rsid w:val="009E286F"/>
    <w:rsid w:val="009E56E7"/>
    <w:rsid w:val="00A03D0D"/>
    <w:rsid w:val="00A03F41"/>
    <w:rsid w:val="00A05BE7"/>
    <w:rsid w:val="00A300F3"/>
    <w:rsid w:val="00A3514D"/>
    <w:rsid w:val="00A47055"/>
    <w:rsid w:val="00A60E38"/>
    <w:rsid w:val="00A72942"/>
    <w:rsid w:val="00A81BEF"/>
    <w:rsid w:val="00A93E1D"/>
    <w:rsid w:val="00AA0771"/>
    <w:rsid w:val="00AA348A"/>
    <w:rsid w:val="00AB27EF"/>
    <w:rsid w:val="00AB7A5D"/>
    <w:rsid w:val="00AC7008"/>
    <w:rsid w:val="00AD67B9"/>
    <w:rsid w:val="00AE4493"/>
    <w:rsid w:val="00AE7E0C"/>
    <w:rsid w:val="00B036D0"/>
    <w:rsid w:val="00B11592"/>
    <w:rsid w:val="00B120BD"/>
    <w:rsid w:val="00B37A5D"/>
    <w:rsid w:val="00B415B0"/>
    <w:rsid w:val="00B64CCF"/>
    <w:rsid w:val="00B656FA"/>
    <w:rsid w:val="00B6748A"/>
    <w:rsid w:val="00B70C62"/>
    <w:rsid w:val="00B73041"/>
    <w:rsid w:val="00B7320A"/>
    <w:rsid w:val="00B7657F"/>
    <w:rsid w:val="00B849CA"/>
    <w:rsid w:val="00BA4148"/>
    <w:rsid w:val="00BB2EDF"/>
    <w:rsid w:val="00BC0B51"/>
    <w:rsid w:val="00BC2D8C"/>
    <w:rsid w:val="00BC7323"/>
    <w:rsid w:val="00BD24C0"/>
    <w:rsid w:val="00BD453F"/>
    <w:rsid w:val="00BD48A5"/>
    <w:rsid w:val="00BE2CEC"/>
    <w:rsid w:val="00BE695C"/>
    <w:rsid w:val="00BF0FB9"/>
    <w:rsid w:val="00BF1767"/>
    <w:rsid w:val="00BF659C"/>
    <w:rsid w:val="00C042D8"/>
    <w:rsid w:val="00C15E61"/>
    <w:rsid w:val="00C16D8E"/>
    <w:rsid w:val="00C17E32"/>
    <w:rsid w:val="00C43D47"/>
    <w:rsid w:val="00C618D6"/>
    <w:rsid w:val="00C6364E"/>
    <w:rsid w:val="00C843B1"/>
    <w:rsid w:val="00C93D0A"/>
    <w:rsid w:val="00C95502"/>
    <w:rsid w:val="00CC089E"/>
    <w:rsid w:val="00CC095B"/>
    <w:rsid w:val="00CC382F"/>
    <w:rsid w:val="00CC5EA1"/>
    <w:rsid w:val="00CD4112"/>
    <w:rsid w:val="00CD495C"/>
    <w:rsid w:val="00CD6DF4"/>
    <w:rsid w:val="00CE2AA8"/>
    <w:rsid w:val="00D063EB"/>
    <w:rsid w:val="00D1605A"/>
    <w:rsid w:val="00D1680B"/>
    <w:rsid w:val="00D319B7"/>
    <w:rsid w:val="00D42B72"/>
    <w:rsid w:val="00D45F3D"/>
    <w:rsid w:val="00D560C3"/>
    <w:rsid w:val="00D715AA"/>
    <w:rsid w:val="00D804D6"/>
    <w:rsid w:val="00D94144"/>
    <w:rsid w:val="00DA697A"/>
    <w:rsid w:val="00DB4F9E"/>
    <w:rsid w:val="00DC276A"/>
    <w:rsid w:val="00DC2BAD"/>
    <w:rsid w:val="00DC50E0"/>
    <w:rsid w:val="00DC5C50"/>
    <w:rsid w:val="00DE356D"/>
    <w:rsid w:val="00DE401E"/>
    <w:rsid w:val="00DF0C5B"/>
    <w:rsid w:val="00E11CC3"/>
    <w:rsid w:val="00E17B20"/>
    <w:rsid w:val="00E20162"/>
    <w:rsid w:val="00E20277"/>
    <w:rsid w:val="00E31DF2"/>
    <w:rsid w:val="00E43489"/>
    <w:rsid w:val="00E451AF"/>
    <w:rsid w:val="00E45B54"/>
    <w:rsid w:val="00E53C0D"/>
    <w:rsid w:val="00E66264"/>
    <w:rsid w:val="00E70E78"/>
    <w:rsid w:val="00E7137E"/>
    <w:rsid w:val="00E81186"/>
    <w:rsid w:val="00EA3730"/>
    <w:rsid w:val="00EB56C0"/>
    <w:rsid w:val="00ED7ADB"/>
    <w:rsid w:val="00ED7CA5"/>
    <w:rsid w:val="00ED7D95"/>
    <w:rsid w:val="00EE3830"/>
    <w:rsid w:val="00EE6069"/>
    <w:rsid w:val="00EF6D81"/>
    <w:rsid w:val="00F03892"/>
    <w:rsid w:val="00F05B76"/>
    <w:rsid w:val="00F2682E"/>
    <w:rsid w:val="00F3561E"/>
    <w:rsid w:val="00F36A0D"/>
    <w:rsid w:val="00F41628"/>
    <w:rsid w:val="00F45467"/>
    <w:rsid w:val="00F5157C"/>
    <w:rsid w:val="00F56784"/>
    <w:rsid w:val="00F57E61"/>
    <w:rsid w:val="00F615DA"/>
    <w:rsid w:val="00F62287"/>
    <w:rsid w:val="00F76EA1"/>
    <w:rsid w:val="00F81C06"/>
    <w:rsid w:val="00F95750"/>
    <w:rsid w:val="00FA7A0F"/>
    <w:rsid w:val="00FB0BF7"/>
    <w:rsid w:val="00FD1A5A"/>
    <w:rsid w:val="00FD23DF"/>
    <w:rsid w:val="00FD7DC1"/>
    <w:rsid w:val="00FE5F7F"/>
    <w:rsid w:val="00FF0044"/>
    <w:rsid w:val="018C0108"/>
    <w:rsid w:val="09442803"/>
    <w:rsid w:val="0AC37758"/>
    <w:rsid w:val="0D444AF3"/>
    <w:rsid w:val="0F936C52"/>
    <w:rsid w:val="158A0266"/>
    <w:rsid w:val="1B1F22A8"/>
    <w:rsid w:val="1D8B2357"/>
    <w:rsid w:val="1F184899"/>
    <w:rsid w:val="1F262A27"/>
    <w:rsid w:val="23D26F32"/>
    <w:rsid w:val="242A4184"/>
    <w:rsid w:val="267624EF"/>
    <w:rsid w:val="26C86ABA"/>
    <w:rsid w:val="275814FC"/>
    <w:rsid w:val="2DCA6ECC"/>
    <w:rsid w:val="32E320A6"/>
    <w:rsid w:val="32F9335C"/>
    <w:rsid w:val="35E2756C"/>
    <w:rsid w:val="373553B6"/>
    <w:rsid w:val="3A287454"/>
    <w:rsid w:val="3B3972ED"/>
    <w:rsid w:val="3D3B009C"/>
    <w:rsid w:val="3D6E1D5E"/>
    <w:rsid w:val="44FA03E8"/>
    <w:rsid w:val="45B75E1E"/>
    <w:rsid w:val="471B345F"/>
    <w:rsid w:val="49261274"/>
    <w:rsid w:val="497F0713"/>
    <w:rsid w:val="4C89181E"/>
    <w:rsid w:val="4D113D78"/>
    <w:rsid w:val="529A65BD"/>
    <w:rsid w:val="532540D9"/>
    <w:rsid w:val="5563624A"/>
    <w:rsid w:val="564B4977"/>
    <w:rsid w:val="64B74A6F"/>
    <w:rsid w:val="68B31E9D"/>
    <w:rsid w:val="69B14E46"/>
    <w:rsid w:val="6D175022"/>
    <w:rsid w:val="6DFF1B17"/>
    <w:rsid w:val="6F954479"/>
    <w:rsid w:val="71C334FC"/>
    <w:rsid w:val="71E857EE"/>
    <w:rsid w:val="723D360A"/>
    <w:rsid w:val="761617A4"/>
    <w:rsid w:val="76B87182"/>
    <w:rsid w:val="76E9529A"/>
    <w:rsid w:val="79FDCB82"/>
    <w:rsid w:val="7A037EEE"/>
    <w:rsid w:val="7CA53A11"/>
    <w:rsid w:val="7DBF065E"/>
    <w:rsid w:val="7FBF8539"/>
    <w:rsid w:val="7FC4E5D2"/>
    <w:rsid w:val="D7F7C8D0"/>
    <w:rsid w:val="FCFE7C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6"/>
    <w:qFormat/>
    <w:uiPriority w:val="9"/>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1"/>
    <w:rPr>
      <w:sz w:val="24"/>
    </w:rPr>
  </w:style>
  <w:style w:type="paragraph" w:styleId="4">
    <w:name w:val="annotation text"/>
    <w:basedOn w:val="1"/>
    <w:link w:val="21"/>
    <w:semiHidden/>
    <w:unhideWhenUsed/>
    <w:qFormat/>
    <w:uiPriority w:val="99"/>
    <w:pPr>
      <w:jc w:val="left"/>
    </w:pPr>
  </w:style>
  <w:style w:type="paragraph" w:styleId="5">
    <w:name w:val="Plain Text"/>
    <w:basedOn w:val="1"/>
    <w:unhideWhenUsed/>
    <w:qFormat/>
    <w:uiPriority w:val="99"/>
    <w:rPr>
      <w:rFonts w:ascii="宋体" w:hAnsi="Courier New" w:cs="Courier New"/>
      <w:szCs w:val="21"/>
    </w:rPr>
  </w:style>
  <w:style w:type="paragraph" w:styleId="6">
    <w:name w:val="Date"/>
    <w:basedOn w:val="1"/>
    <w:next w:val="1"/>
    <w:link w:val="23"/>
    <w:semiHidden/>
    <w:unhideWhenUsed/>
    <w:qFormat/>
    <w:uiPriority w:val="99"/>
    <w:pPr>
      <w:ind w:left="100" w:leftChars="2500"/>
    </w:pPr>
  </w:style>
  <w:style w:type="paragraph" w:styleId="7">
    <w:name w:val="Balloon Text"/>
    <w:basedOn w:val="1"/>
    <w:link w:val="20"/>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itle"/>
    <w:basedOn w:val="1"/>
    <w:next w:val="1"/>
    <w:qFormat/>
    <w:uiPriority w:val="10"/>
    <w:pPr>
      <w:spacing w:before="240" w:after="60"/>
      <w:jc w:val="center"/>
      <w:outlineLvl w:val="0"/>
    </w:pPr>
    <w:rPr>
      <w:rFonts w:ascii="Calibri Light" w:hAnsi="Calibri Light"/>
      <w:b/>
      <w:bCs/>
      <w:kern w:val="0"/>
      <w:sz w:val="32"/>
      <w:szCs w:val="32"/>
    </w:rPr>
  </w:style>
  <w:style w:type="paragraph" w:styleId="11">
    <w:name w:val="annotation subject"/>
    <w:basedOn w:val="4"/>
    <w:next w:val="4"/>
    <w:link w:val="22"/>
    <w:semiHidden/>
    <w:unhideWhenUsed/>
    <w:qFormat/>
    <w:uiPriority w:val="99"/>
    <w:rPr>
      <w:b/>
      <w:bCs/>
    </w:rPr>
  </w:style>
  <w:style w:type="table" w:styleId="13">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5">
    <w:name w:val="annotation reference"/>
    <w:basedOn w:val="14"/>
    <w:semiHidden/>
    <w:unhideWhenUsed/>
    <w:qFormat/>
    <w:uiPriority w:val="99"/>
    <w:rPr>
      <w:sz w:val="21"/>
      <w:szCs w:val="21"/>
    </w:rPr>
  </w:style>
  <w:style w:type="character" w:customStyle="1" w:styleId="16">
    <w:name w:val="标题 1 字符"/>
    <w:basedOn w:val="14"/>
    <w:link w:val="3"/>
    <w:qFormat/>
    <w:uiPriority w:val="9"/>
    <w:rPr>
      <w:rFonts w:ascii="Calibri" w:hAnsi="Calibri" w:eastAsia="宋体" w:cs="Times New Roman"/>
      <w:b/>
      <w:bCs/>
      <w:kern w:val="44"/>
      <w:sz w:val="44"/>
      <w:szCs w:val="44"/>
    </w:rPr>
  </w:style>
  <w:style w:type="character" w:customStyle="1" w:styleId="17">
    <w:name w:val="正文文本 字符"/>
    <w:basedOn w:val="14"/>
    <w:link w:val="2"/>
    <w:qFormat/>
    <w:uiPriority w:val="1"/>
    <w:rPr>
      <w:rFonts w:ascii="Calibri" w:hAnsi="Calibri" w:eastAsia="宋体" w:cs="Times New Roman"/>
      <w:sz w:val="24"/>
      <w:szCs w:val="24"/>
    </w:rPr>
  </w:style>
  <w:style w:type="character" w:customStyle="1" w:styleId="18">
    <w:name w:val="页眉 字符"/>
    <w:basedOn w:val="14"/>
    <w:link w:val="9"/>
    <w:qFormat/>
    <w:uiPriority w:val="99"/>
    <w:rPr>
      <w:rFonts w:ascii="Calibri" w:hAnsi="Calibri" w:eastAsia="宋体" w:cs="Times New Roman"/>
      <w:sz w:val="18"/>
      <w:szCs w:val="18"/>
    </w:rPr>
  </w:style>
  <w:style w:type="character" w:customStyle="1" w:styleId="19">
    <w:name w:val="页脚 字符"/>
    <w:basedOn w:val="14"/>
    <w:link w:val="8"/>
    <w:qFormat/>
    <w:uiPriority w:val="99"/>
    <w:rPr>
      <w:rFonts w:ascii="Calibri" w:hAnsi="Calibri" w:eastAsia="宋体" w:cs="Times New Roman"/>
      <w:sz w:val="18"/>
      <w:szCs w:val="18"/>
    </w:rPr>
  </w:style>
  <w:style w:type="character" w:customStyle="1" w:styleId="20">
    <w:name w:val="批注框文本 字符"/>
    <w:basedOn w:val="14"/>
    <w:link w:val="7"/>
    <w:semiHidden/>
    <w:qFormat/>
    <w:uiPriority w:val="99"/>
    <w:rPr>
      <w:rFonts w:ascii="Calibri" w:hAnsi="Calibri" w:eastAsia="宋体" w:cs="Times New Roman"/>
      <w:sz w:val="18"/>
      <w:szCs w:val="18"/>
    </w:rPr>
  </w:style>
  <w:style w:type="character" w:customStyle="1" w:styleId="21">
    <w:name w:val="批注文字 字符"/>
    <w:basedOn w:val="14"/>
    <w:link w:val="4"/>
    <w:semiHidden/>
    <w:qFormat/>
    <w:uiPriority w:val="99"/>
    <w:rPr>
      <w:rFonts w:ascii="Calibri" w:hAnsi="Calibri" w:eastAsia="宋体" w:cs="Times New Roman"/>
      <w:szCs w:val="24"/>
    </w:rPr>
  </w:style>
  <w:style w:type="character" w:customStyle="1" w:styleId="22">
    <w:name w:val="批注主题 字符"/>
    <w:basedOn w:val="21"/>
    <w:link w:val="11"/>
    <w:semiHidden/>
    <w:qFormat/>
    <w:uiPriority w:val="99"/>
    <w:rPr>
      <w:rFonts w:ascii="Calibri" w:hAnsi="Calibri" w:eastAsia="宋体" w:cs="Times New Roman"/>
      <w:b/>
      <w:bCs/>
      <w:szCs w:val="24"/>
    </w:rPr>
  </w:style>
  <w:style w:type="character" w:customStyle="1" w:styleId="23">
    <w:name w:val="日期 字符"/>
    <w:basedOn w:val="14"/>
    <w:link w:val="6"/>
    <w:semiHidden/>
    <w:qFormat/>
    <w:uiPriority w:val="99"/>
    <w:rPr>
      <w:rFonts w:ascii="Calibri" w:hAnsi="Calibri"/>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2031</Words>
  <Characters>2108</Characters>
  <Lines>13</Lines>
  <Paragraphs>3</Paragraphs>
  <TotalTime>18</TotalTime>
  <ScaleCrop>false</ScaleCrop>
  <LinksUpToDate>false</LinksUpToDate>
  <CharactersWithSpaces>2430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2024-02-21T07:54:00Z</dcterms:created>
  <dc:creator>康钦昕</dc:creator>
  <cp:lastModifiedBy>外合中心收文</cp:lastModifiedBy>
  <cp:lastPrinted>2025-02-18T03:44:00Z</cp:lastPrinted>
  <dcterms:modified xsi:type="dcterms:W3CDTF">2025-02-19T08:24:58Z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B9F8798574644106ADCD9505C9A8F528_13</vt:lpwstr>
  </property>
  <property fmtid="{D5CDD505-2E9C-101B-9397-08002B2CF9AE}" pid="4" name="KSOTemplateDocerSaveRecord">
    <vt:lpwstr>eyJoZGlkIjoiYjhlYzc0ZDg0Mzk3MWY2ZTMwZTI5MTY4ZGNiNGQxMTciLCJ1c2VySWQiOiI3MjM4NjYyNjYifQ==</vt:lpwstr>
  </property>
</Properties>
</file>