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/>
          <w:b/>
          <w:sz w:val="40"/>
          <w:szCs w:val="32"/>
        </w:rPr>
      </w:pPr>
      <w:r>
        <w:rPr>
          <w:rFonts w:ascii="Times New Roman" w:hAnsi="Times New Roman" w:eastAsia="黑体"/>
          <w:bCs/>
          <w:sz w:val="32"/>
          <w:szCs w:val="28"/>
        </w:rPr>
        <w:t>附</w:t>
      </w:r>
      <w:r>
        <w:rPr>
          <w:rFonts w:hint="eastAsia" w:ascii="Times New Roman" w:hAnsi="Times New Roman" w:eastAsia="黑体"/>
          <w:bCs/>
          <w:sz w:val="32"/>
          <w:szCs w:val="28"/>
        </w:rPr>
        <w:t>件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b/>
          <w:kern w:val="0"/>
          <w:sz w:val="44"/>
          <w:szCs w:val="36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四川省生态环境厅审批环境影响评价文件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的建设项目目录（2025年本）</w:t>
      </w:r>
    </w:p>
    <w:bookmarkEnd w:id="0"/>
    <w:p>
      <w:pPr>
        <w:overflowPunct w:val="0"/>
        <w:topLinePunct/>
        <w:spacing w:line="600" w:lineRule="exact"/>
        <w:ind w:firstLine="642" w:firstLineChars="200"/>
        <w:textAlignment w:val="baseline"/>
        <w:rPr>
          <w:rFonts w:ascii="Times New Roman" w:hAnsi="Times New Roman" w:eastAsia="仿宋_GB2312"/>
          <w:b/>
          <w:sz w:val="32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2" w:space="0"/>
          <w:bottom w:val="single" w:color="auto" w:sz="4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3186"/>
        <w:gridCol w:w="5150"/>
      </w:tblGrid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项目类别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项目目录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（一）煤炭开采和洗选业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新增规模90万吨/年及以上的新建、扩建煤炭开采项目。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（二）石油和天然气开采业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天然气、页岩气区块开发。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（三）黑色金属矿采选业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strike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新增规模30万吨/年及以上的新建、扩建铁矿采选项目；单独尾矿库建设项目；含尾矿库的矿山采选项目。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（四）有色金属矿采选业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稀土采选项目；铜、铅锌、镍钴、锡、锑、汞矿采选项目；单独尾矿库建设项目；含尾矿库的矿山采选项目。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（五）非金属矿采选业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单独尾矿库建设项目；含尾矿库的矿山采选项目。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（六）酒、饮料制造业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年生产能力1000千升及以上有发酵工艺的白酒、酒精制造（遂宁市除外）。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（七）造纸和纸制品业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纸浆制造（不含废纸制浆、机械制浆）。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（八）石油、煤炭及其他燃料加工业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石化：全部炼油项目；全部乙烯项目；新建对二甲苯、对苯二甲酸、二苯基甲烷二异氰酸酯项目、甲苯二异氰酸酯项目；新建废轮胎生产再生油项目。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煤炭加工：焦化项目（含半焦项目，干熄焦、煤气净化等不涉及焦炉/炭化炉的改造项目除外）；全部煤化工（含煤制氮肥、低阶煤分质利用）项目。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（九）化学原料和化学制品制造业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全部农药及中间体生产项目；全部铬盐、全部氰化物生产项目；新建、扩建钛白粉制造项目；钢铁含锌尘泥等含锌二次资源生产（次）氧化锌的项目。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（十）医药制造业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发酵类抗生素制造。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（十一）非金属矿物制品业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水泥制造：全部水泥熟料项目。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玻璃制造：涉及玻璃熔窑设备的项目（电熔窑除外）。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碳素制品：新建石油焦生产碳素制品项目。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（十二）黑色金属冶炼和压延加工业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炼钢炼铁项目（短流程炼钢除外）；烧结、球团项目。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（十三）有色金属冶炼和压延加工业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有色金属冶炼（含再生有色金属冶炼）。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（十四）金属制品业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全部铸造用生铁项目；采用冲天炉为熔化设备的铸造项目。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（十五）电气机械和器材制造业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非专业电镀园区内的电镀项目。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（十六）计算机、通信和其他电子设备制造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新建、扩建含前工序的8英寸及以上集成电路制造（位于产业定位涉及含前工序的集成电路的产业园区内项目除外）。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（十七）电力、热力生产和供应业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燃煤电站（含热电）：新建、改建、扩建项目（含燃煤掺烧废弃物）。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风电、光伏电站：装机容量50万千瓦及以上项目。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水电站：装机5万千瓦以上常规水电站项目以及5万千瓦以下的新建常规水电站项目；装机30万千瓦以上以及涉及环境敏感区的抽水蓄能电站项目。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（十八）研究和试验发展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P3、P4生物安全实验室；由国务院或国务院授权相关部门审批的转基因实验室。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（十九）生态保护和环境治理业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新建危险废物集中处置（含焚烧、填埋）项目；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产生危险废物的单位涉及新建（自建</w:t>
            </w:r>
            <w:r>
              <w:rPr>
                <w:rFonts w:ascii="Times New Roman" w:hAnsi="Times New Roman" w:eastAsia="仿宋_GB2312"/>
                <w:bCs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危险废物焚烧或填埋处置项目；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水泥窑、钢铁、火电等协同处置危险废物项目。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（二十）卫生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由国务院或国务院授权相关部门审批的。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（二十一）社会事业与服务业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特大型主题公园；高尔夫球场。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（二十二）水利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水库：新建库容1000万立方米及以上的项目；涉及环境敏感区的项目。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灌区工程（不含水源工程的）：国务院或国务院授权相关部门审批的。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引水工程：新建项目。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防洪除涝工程：由国务院或国务院授权相关部门审批的。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（二十三）交通运输业、管道运输业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等级公路：跨市（州）高速公路。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铁路：生态环境部审批权限以外的新建（含增建）铁路项目（铁路专用线、联络线、货站、站场项目除外）。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城市轨道交通：全部地铁项目。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机场：新建、迁建以及增加航空业务量的扩建运输机场项目</w:t>
            </w: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新建、迁建通用机场项目。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港口码头：新建煤炭、矿石、油气专用泊位项目；涉及危险品、化学品堆场的集装箱专用码头项目。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航电枢纽：跨市（州）的航电枢纽工程。</w:t>
            </w:r>
          </w:p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油气管线：涉及环境敏感区的跨市（州）输油（气）管线。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11" w:type="pct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textAlignment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（二十四）核与辐射</w:t>
            </w:r>
          </w:p>
        </w:tc>
        <w:tc>
          <w:tcPr>
            <w:tcW w:w="3089" w:type="pct"/>
            <w:vAlign w:val="center"/>
          </w:tcPr>
          <w:p>
            <w:pPr>
              <w:overflowPunct w:val="0"/>
              <w:topLinePunct/>
              <w:spacing w:line="340" w:lineRule="exact"/>
              <w:textAlignment w:val="baseline"/>
              <w:rPr>
                <w:rFonts w:ascii="Times New Roman" w:hAnsi="Times New Roman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  <w:lang w:bidi="ar"/>
              </w:rPr>
              <w:t>编制环境影响报告书的广播电台、差转台、电视塔台、卫星地球上行站、雷达、输变电工程。</w:t>
            </w:r>
          </w:p>
          <w:p>
            <w:pPr>
              <w:overflowPunct w:val="0"/>
              <w:topLinePunct/>
              <w:spacing w:line="340" w:lineRule="exact"/>
              <w:textAlignment w:val="baseline"/>
              <w:rPr>
                <w:rFonts w:ascii="Times New Roman" w:hAnsi="Times New Roman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  <w:lang w:bidi="ar"/>
              </w:rPr>
              <w:t>核设施内新建、改建、扩建不涉核的建设项目。</w:t>
            </w:r>
          </w:p>
          <w:p>
            <w:pPr>
              <w:overflowPunct w:val="0"/>
              <w:topLinePunct/>
              <w:spacing w:line="340" w:lineRule="exact"/>
              <w:textAlignment w:val="baseline"/>
              <w:rPr>
                <w:rFonts w:ascii="Times New Roman" w:hAnsi="Times New Roman" w:eastAsia="仿宋_GB2312"/>
                <w:bCs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  <w:lang w:bidi="ar"/>
              </w:rPr>
              <w:t>伴生放射性矿产资源的采选、冶炼及放射性污染治理项目。</w:t>
            </w:r>
          </w:p>
          <w:p>
            <w:pPr>
              <w:overflowPunct w:val="0"/>
              <w:topLinePunct/>
              <w:spacing w:line="340" w:lineRule="exact"/>
              <w:textAlignment w:val="baseline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  <w:lang w:bidi="ar"/>
              </w:rPr>
              <w:t>生产放射性同位素，甲级、乙级（仅涉及放射性药品储存库房的除外）非密封放射性物质工作场所，使用I、II类放射源，销售（含建造）、使用I类射线装置，生产II类射线装置，使用II类射线装置（FLASH放疗装置，车辆检查用X射线装置，中子发生器，以及除X射线能量不高于10兆伏的医用电子直线加速器外的加速器）的核技术利用项目及相应需要退役的项目；核技术利用放射性污染治理项目；在野外进行放射性同位素示踪试验项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1ACD2A"/>
    <w:rsid w:val="FC1AC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2025-07-02T16:30:00Z</dcterms:created>
  <dc:creator>user</dc:creator>
  <cp:lastModifiedBy>user</cp:lastModifiedBy>
  <dcterms:modified xsi:type="dcterms:W3CDTF">2025-07-02T16:31:37Z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02CBD5A2109A248140EE64689849986D</vt:lpwstr>
  </property>
</Properties>
</file>