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90" w:rsidRPr="00A419C9" w:rsidRDefault="00C22A90" w:rsidP="00C22A90">
      <w:pPr>
        <w:widowControl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419C9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A419C9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C22A90" w:rsidRPr="00A419C9" w:rsidRDefault="00C22A90" w:rsidP="00C22A90">
      <w:pPr>
        <w:widowControl/>
        <w:spacing w:line="2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2A90" w:rsidRPr="00A419C9" w:rsidRDefault="00C22A90" w:rsidP="00C22A90">
      <w:pPr>
        <w:widowControl/>
        <w:spacing w:line="540" w:lineRule="exact"/>
        <w:jc w:val="center"/>
        <w:rPr>
          <w:rStyle w:val="a3"/>
          <w:rFonts w:ascii="Times New Roman" w:eastAsia="方正小标宋简体" w:hAnsi="Times New Roman" w:cs="黑体"/>
          <w:b w:val="0"/>
          <w:kern w:val="0"/>
          <w:sz w:val="44"/>
          <w:szCs w:val="36"/>
          <w:lang w:bidi="ar"/>
        </w:rPr>
      </w:pPr>
      <w:r w:rsidRPr="00A419C9">
        <w:rPr>
          <w:rStyle w:val="a3"/>
          <w:rFonts w:ascii="Times New Roman" w:eastAsia="方正小标宋简体" w:hAnsi="Times New Roman" w:cs="黑体" w:hint="eastAsia"/>
          <w:kern w:val="0"/>
          <w:sz w:val="44"/>
          <w:szCs w:val="36"/>
          <w:lang w:bidi="ar"/>
        </w:rPr>
        <w:t>2019</w:t>
      </w:r>
      <w:r w:rsidRPr="00A419C9">
        <w:rPr>
          <w:rStyle w:val="a3"/>
          <w:rFonts w:ascii="Times New Roman" w:eastAsia="方正小标宋简体" w:hAnsi="Times New Roman" w:cs="黑体" w:hint="eastAsia"/>
          <w:kern w:val="0"/>
          <w:sz w:val="44"/>
          <w:szCs w:val="36"/>
          <w:lang w:bidi="ar"/>
        </w:rPr>
        <w:t>年纳入排污许可管理的行业明细表（</w:t>
      </w:r>
      <w:r w:rsidRPr="00A419C9">
        <w:rPr>
          <w:rStyle w:val="a3"/>
          <w:rFonts w:ascii="Times New Roman" w:eastAsia="方正小标宋简体" w:hAnsi="Times New Roman" w:cs="黑体" w:hint="eastAsia"/>
          <w:kern w:val="0"/>
          <w:sz w:val="44"/>
          <w:szCs w:val="36"/>
          <w:lang w:bidi="ar"/>
        </w:rPr>
        <w:t>2017</w:t>
      </w:r>
      <w:r w:rsidRPr="00A419C9">
        <w:rPr>
          <w:rStyle w:val="a3"/>
          <w:rFonts w:ascii="Times New Roman" w:eastAsia="方正小标宋简体" w:hAnsi="Times New Roman" w:cs="黑体" w:hint="eastAsia"/>
          <w:kern w:val="0"/>
          <w:sz w:val="44"/>
          <w:szCs w:val="36"/>
          <w:lang w:bidi="ar"/>
        </w:rPr>
        <w:t>年版）</w:t>
      </w:r>
    </w:p>
    <w:p w:rsidR="00C22A90" w:rsidRPr="00A419C9" w:rsidRDefault="00C22A90" w:rsidP="00C22A90">
      <w:pPr>
        <w:widowControl/>
        <w:spacing w:line="240" w:lineRule="exact"/>
        <w:jc w:val="center"/>
        <w:rPr>
          <w:rStyle w:val="a3"/>
          <w:rFonts w:ascii="Times New Roman" w:eastAsia="黑体" w:hAnsi="Times New Roman" w:cs="黑体"/>
          <w:kern w:val="0"/>
          <w:sz w:val="36"/>
          <w:szCs w:val="36"/>
          <w:lang w:bidi="ar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"/>
        <w:gridCol w:w="2999"/>
        <w:gridCol w:w="3512"/>
        <w:gridCol w:w="2662"/>
        <w:gridCol w:w="1837"/>
        <w:gridCol w:w="2046"/>
      </w:tblGrid>
      <w:tr w:rsidR="00C22A90" w:rsidRPr="00A419C9" w:rsidTr="00D66699">
        <w:trPr>
          <w:trHeight w:val="340"/>
          <w:tblHeader/>
          <w:jc w:val="center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419C9">
              <w:rPr>
                <w:rStyle w:val="a3"/>
                <w:rFonts w:ascii="Times New Roman" w:eastAsia="黑体" w:hAnsi="Times New Roman" w:cs="黑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419C9">
              <w:rPr>
                <w:rStyle w:val="a3"/>
                <w:rFonts w:ascii="Times New Roman" w:eastAsia="黑体" w:hAnsi="Times New Roman" w:cs="黑体" w:hint="eastAsia"/>
                <w:kern w:val="0"/>
                <w:szCs w:val="21"/>
                <w:lang w:bidi="ar"/>
              </w:rPr>
              <w:t>行业类别</w:t>
            </w:r>
          </w:p>
        </w:tc>
        <w:tc>
          <w:tcPr>
            <w:tcW w:w="12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419C9">
              <w:rPr>
                <w:rStyle w:val="a3"/>
                <w:rFonts w:ascii="Times New Roman" w:eastAsia="黑体" w:hAnsi="Times New Roman" w:cs="黑体" w:hint="eastAsia"/>
                <w:kern w:val="0"/>
                <w:szCs w:val="21"/>
                <w:lang w:bidi="ar"/>
              </w:rPr>
              <w:t>实施重点管理的行业</w:t>
            </w:r>
          </w:p>
        </w:tc>
        <w:tc>
          <w:tcPr>
            <w:tcW w:w="95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419C9">
              <w:rPr>
                <w:rStyle w:val="a3"/>
                <w:rFonts w:ascii="Times New Roman" w:eastAsia="黑体" w:hAnsi="Times New Roman" w:cs="黑体" w:hint="eastAsia"/>
                <w:kern w:val="0"/>
                <w:szCs w:val="21"/>
                <w:lang w:bidi="ar"/>
              </w:rPr>
              <w:t>实施简化管理的行业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419C9">
              <w:rPr>
                <w:rStyle w:val="a3"/>
                <w:rFonts w:ascii="Times New Roman" w:eastAsia="黑体" w:hAnsi="Times New Roman" w:cs="黑体" w:hint="eastAsia"/>
                <w:kern w:val="0"/>
                <w:szCs w:val="21"/>
                <w:lang w:bidi="ar"/>
              </w:rPr>
              <w:t>实施时限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A419C9">
              <w:rPr>
                <w:rStyle w:val="a3"/>
                <w:rFonts w:ascii="Times New Roman" w:eastAsia="黑体" w:hAnsi="Times New Roman" w:cs="黑体" w:hint="eastAsia"/>
                <w:kern w:val="0"/>
                <w:szCs w:val="21"/>
                <w:lang w:bidi="ar"/>
              </w:rPr>
              <w:t>适用排污许可行业技术规范</w:t>
            </w:r>
          </w:p>
        </w:tc>
      </w:tr>
      <w:tr w:rsidR="00C22A90" w:rsidRPr="00A419C9" w:rsidTr="00D66699">
        <w:trPr>
          <w:trHeight w:val="340"/>
          <w:tblHeader/>
          <w:jc w:val="center"/>
        </w:trPr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  <w:tc>
          <w:tcPr>
            <w:tcW w:w="10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  <w:tc>
          <w:tcPr>
            <w:tcW w:w="1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  <w:tc>
          <w:tcPr>
            <w:tcW w:w="9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  <w:tc>
          <w:tcPr>
            <w:tcW w:w="7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szCs w:val="21"/>
              </w:rPr>
            </w:pP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一、畜牧业</w:t>
            </w: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03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牲畜饲养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031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，家禽饲养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032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设有污水排放口的规模化畜禽养殖场、养殖小区（具体规模化标准按《畜禽规模养殖污染防治条例》执行）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年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畜禽养殖行业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szCs w:val="21"/>
              </w:rPr>
            </w:pP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三、食品制造业</w:t>
            </w: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14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8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乳制品制造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144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年加工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万吨及以上的以生鲜牛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(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羊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)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乳及其制品为主要原料的液体乳及固体乳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(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乳粉、炼乳、乳脂肪、干酪等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)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制品制造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(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不包括含乳饮料和植物蛋白饮料的生产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其他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年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食品制造工业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9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调味品、发酵制品制造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146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2"/>
                <w:szCs w:val="21"/>
                <w:shd w:val="clear" w:color="auto" w:fill="FFFFFF"/>
              </w:rPr>
              <w:t>纳入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2"/>
                <w:szCs w:val="21"/>
                <w:shd w:val="clear" w:color="auto" w:fill="FFFFFF"/>
              </w:rPr>
              <w:t>2015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2"/>
                <w:szCs w:val="21"/>
                <w:shd w:val="clear" w:color="auto" w:fill="FFFFFF"/>
              </w:rPr>
              <w:t>年环境统计的含发酵工艺的味精、柠檬酸、赖氨酸、酱油、醋等制造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其他（不含单纯分装的）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年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10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方便食品制造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143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，其他食品制造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149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-2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纳入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2015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年环境统计的有提炼工艺的方便食品制造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、纳入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2015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年环境统计的食品及饲料添加剂制造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（以上均不含单纯混合和分装的）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年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szCs w:val="21"/>
              </w:rPr>
            </w:pP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四、酒、饮料和精制茶制造业</w:t>
            </w: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15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11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酒的制造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151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啤酒制造、有发酵工艺的酒精制造、白酒制造、黄酒制造、葡萄酒制造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年</w:t>
            </w:r>
          </w:p>
        </w:tc>
        <w:tc>
          <w:tcPr>
            <w:tcW w:w="735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hd w:val="clear" w:color="auto" w:fill="FFFFFF"/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kern w:val="0"/>
                <w:szCs w:val="21"/>
                <w:shd w:val="clear" w:color="auto" w:fill="FFFFFF"/>
                <w:lang w:bidi="ar"/>
              </w:rPr>
              <w:t>酒精、饮料制造</w:t>
            </w:r>
          </w:p>
          <w:p w:rsidR="00C22A90" w:rsidRPr="00A419C9" w:rsidRDefault="00C22A90" w:rsidP="00D66699">
            <w:pPr>
              <w:widowControl/>
              <w:shd w:val="clear" w:color="auto" w:fill="FFFFFF"/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kern w:val="0"/>
                <w:szCs w:val="21"/>
                <w:shd w:val="clear" w:color="auto" w:fill="FFFFFF"/>
                <w:lang w:bidi="ar"/>
              </w:rPr>
              <w:t>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12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饮料制造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152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含发酵工艺或者原汁生产的饮料制造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总氮、总磷控制区域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年，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其他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2020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szCs w:val="21"/>
              </w:rPr>
            </w:pP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七、皮革、毛皮、羽毛及其制品和制鞋业</w:t>
            </w:r>
            <w:r w:rsidRPr="00A419C9">
              <w:rPr>
                <w:rFonts w:ascii="Times New Roman" w:eastAsia="黑体" w:hAnsi="Times New Roman" w:cs="宋体" w:hint="eastAsia"/>
                <w:bCs/>
                <w:szCs w:val="21"/>
              </w:rPr>
              <w:t>19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17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制鞋业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195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使用溶剂型胶黏</w:t>
            </w:r>
            <w:proofErr w:type="gramStart"/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剂或者</w:t>
            </w:r>
            <w:proofErr w:type="gramEnd"/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溶剂型处理剂的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制鞋工业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八、木材加工和</w:t>
            </w:r>
            <w:proofErr w:type="gramStart"/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木、</w:t>
            </w:r>
            <w:proofErr w:type="gramEnd"/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竹、藤、棕、草制品业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20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18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人造板制造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-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年产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万立方米及以上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其他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人造板工业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九、家具制造业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 xml:space="preserve"> 21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3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19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3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木质家具制造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211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，竹、藤家具制造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212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3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有电镀工艺或者有喷漆工艺且年用油性漆（含稀释剂）量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吨及以上的、使用粘结剂的锯材、木片加工、家具制造、竹、藤、棕、草制品制造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3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有化学处理工艺的或者有喷漆工艺且年用油性漆（含稀释剂）量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吨以下的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3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6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3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家具制造工业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pacing w:val="-10"/>
                <w:szCs w:val="21"/>
                <w:shd w:val="clear" w:color="auto" w:fill="FFFFFF"/>
              </w:rPr>
              <w:t>十三、化学原料和化学制品制造业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pacing w:val="-10"/>
                <w:szCs w:val="21"/>
                <w:shd w:val="clear" w:color="auto" w:fill="FFFFFF"/>
              </w:rPr>
              <w:t>26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28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基础化学原料制造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261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无机酸制造、无机碱制造、无机盐制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lastRenderedPageBreak/>
              <w:t>造，以上均不含单纯混合或者分装的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-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烧碱制造、单纯混合或者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分装的无机碱制造、无机盐制造、无机酸制造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总磷控制区域的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无机磷化工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年，其他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无机化学工业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29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聚氯乙烯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-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聚氯乙烯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highlight w:val="yellow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聚氯乙烯工业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30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肥料制造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262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化学肥料制造（不含单纯混合或者分装的）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生产有机肥料、微生物肥料、钾肥的企业（不含其他生产经营者），单纯混合或者分装的化学肥料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氮肥（合成氨）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2017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年，磷肥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年，其他肥料制造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化肥工业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highlight w:val="yellow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二十一、汽车制造业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36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66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汽车制造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361 -367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汽车整车制造，发动机生产，有电镀工艺或者有喷漆工艺且年用油性漆（含稀释剂）量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吨及以上的零部件和配件生产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-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改装汽车制造、低速载货汽车制造，电车制造，汽车车身、挂车制造及有喷漆工艺且年用油性漆（含稀释剂）量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吨以下的零部件和配件生产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汽车制造行业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二十三、电气机械和器材制造业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38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68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电池制造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384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铅酸蓄电池制造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其他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电池工业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二十五、废弃资源综合利用业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42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70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金属废料和碎屑加工处理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421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，非金属废料和碎屑加工处理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422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proofErr w:type="gramStart"/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废电子</w:t>
            </w:r>
            <w:proofErr w:type="gramEnd"/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电器产品、废电池、废汽车、废电机、废五金、废塑料（除分拣清洗工艺的）、废油、废船、废轮胎等加工、再生利用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其他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highlight w:val="yellow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废弃资源加工</w:t>
            </w:r>
          </w:p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lastRenderedPageBreak/>
              <w:t>二十六、电力、热力生产和供应业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44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71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电力生产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441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以生活垃圾、危险废物、污泥为燃料的火力发电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highlight w:val="yellow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火电工业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二十七、水的生产和供应业</w:t>
            </w: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46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72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污水处理及其再生利用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462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工业废水集中处理厂，日处理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6"/>
                <w:szCs w:val="21"/>
                <w:shd w:val="clear" w:color="auto" w:fill="FFFFFF"/>
              </w:rPr>
              <w:t>万吨及以上的城镇生活污水处理厂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日处理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万吨以下的城镇生活污水处理厂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水处理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二十八、生态保护和环境</w:t>
            </w:r>
            <w:proofErr w:type="gramStart"/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治理业</w:t>
            </w:r>
            <w:proofErr w:type="gramEnd"/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77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73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环境</w:t>
            </w:r>
            <w:proofErr w:type="gramStart"/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治理业</w:t>
            </w:r>
            <w:proofErr w:type="gramEnd"/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772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pacing w:val="-6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一般工业固体废物填埋，危险废物处理处置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left"/>
              <w:rPr>
                <w:rFonts w:ascii="Times New Roman" w:eastAsia="黑体" w:hAnsi="Times New Roman" w:cs="宋体"/>
                <w:bCs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黑体" w:hAnsi="Times New Roman" w:cs="宋体" w:hint="eastAsia"/>
                <w:color w:val="000000"/>
                <w:szCs w:val="21"/>
                <w:shd w:val="clear" w:color="auto" w:fill="FFFFFF"/>
              </w:rPr>
              <w:t>三十三、通用工序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79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热力生产和供应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443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单台出力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小时及以上或者合计出力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小时及以上的蒸汽和热水锅炉的热力生产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单台出力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10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小时以下或者合计出力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吨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小时以下的蒸汽和热水锅炉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锅炉工业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81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电镀设施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有电镀、电铸、电解加工、刷镀、化学镀、热浸镀（溶剂法）以及金属酸洗、抛光（电解抛光和化学抛光）、氧化、磷化、钝化等任</w:t>
            </w:r>
            <w:proofErr w:type="gramStart"/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一</w:t>
            </w:r>
            <w:proofErr w:type="gramEnd"/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工序的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电镀工业</w:t>
            </w:r>
          </w:p>
        </w:tc>
      </w:tr>
      <w:tr w:rsidR="00C22A90" w:rsidRPr="00A419C9" w:rsidTr="00D66699">
        <w:trPr>
          <w:trHeight w:val="20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szCs w:val="21"/>
              </w:rPr>
              <w:t>82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生活污水集中处理、工业废水集中处理</w:t>
            </w:r>
          </w:p>
        </w:tc>
        <w:tc>
          <w:tcPr>
            <w:tcW w:w="1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4"/>
                <w:szCs w:val="21"/>
                <w:shd w:val="clear" w:color="auto" w:fill="FFFFFF"/>
              </w:rPr>
              <w:t>接纳工业废水的日处理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4"/>
                <w:szCs w:val="21"/>
                <w:shd w:val="clear" w:color="auto" w:fill="FFFFFF"/>
              </w:rPr>
              <w:t>2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pacing w:val="-4"/>
                <w:szCs w:val="21"/>
                <w:shd w:val="clear" w:color="auto" w:fill="FFFFFF"/>
              </w:rPr>
              <w:t>万吨及以上的生活污水集中处理、工业废水集中处理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/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2019</w:t>
            </w:r>
            <w:r w:rsidRPr="00A419C9">
              <w:rPr>
                <w:rFonts w:ascii="Times New Roman" w:eastAsia="仿宋_GB2312" w:hAnsi="Times New Roman" w:cs="宋体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A90" w:rsidRPr="00A419C9" w:rsidRDefault="00C22A90" w:rsidP="00D66699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19C9">
              <w:rPr>
                <w:rFonts w:ascii="Times New Roman" w:eastAsia="仿宋_GB2312" w:hAnsi="Times New Roman" w:cs="宋体" w:hint="eastAsia"/>
                <w:kern w:val="0"/>
                <w:szCs w:val="21"/>
                <w:lang w:bidi="ar"/>
              </w:rPr>
              <w:t>水处理</w:t>
            </w:r>
          </w:p>
          <w:p w:rsidR="00C22A90" w:rsidRPr="00A419C9" w:rsidRDefault="00C22A90" w:rsidP="00D66699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color w:val="000000"/>
                <w:szCs w:val="21"/>
                <w:shd w:val="clear" w:color="auto" w:fill="FFFFFF"/>
              </w:rPr>
            </w:pPr>
          </w:p>
        </w:tc>
      </w:tr>
    </w:tbl>
    <w:p w:rsidR="00B63963" w:rsidRDefault="00B63963">
      <w:pPr>
        <w:rPr>
          <w:rFonts w:hint="eastAsia"/>
        </w:rPr>
      </w:pPr>
      <w:bookmarkStart w:id="0" w:name="_GoBack"/>
      <w:bookmarkEnd w:id="0"/>
    </w:p>
    <w:sectPr w:rsidR="00B63963" w:rsidSect="00C22A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90"/>
    <w:rsid w:val="00B63963"/>
    <w:rsid w:val="00C2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3285"/>
  <w15:chartTrackingRefBased/>
  <w15:docId w15:val="{2FDDAD00-2BB5-41F4-AA50-D81FA87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2A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综合办理人员</dc:creator>
  <cp:keywords/>
  <dc:description/>
  <cp:lastModifiedBy>综合办理人员</cp:lastModifiedBy>
  <cp:revision>1</cp:revision>
  <dcterms:created xsi:type="dcterms:W3CDTF">2019-04-09T08:48:00Z</dcterms:created>
  <dcterms:modified xsi:type="dcterms:W3CDTF">2019-04-09T08:49:00Z</dcterms:modified>
</cp:coreProperties>
</file>