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spacing w:line="600" w:lineRule="exact"/>
        <w:rPr>
          <w:rFonts w:ascii="Times New Roman" w:hAnsi="Times New Roman" w:eastAsia="黑体"/>
          <w:kern w:val="0"/>
          <w:sz w:val="32"/>
          <w:szCs w:val="32"/>
          <w:lang w:bidi="ar"/>
        </w:rPr>
      </w:pPr>
      <w:bookmarkStart w:id="0" w:name="OLE_LINK5"/>
      <w:r>
        <w:rPr>
          <w:rFonts w:ascii="Times New Roman" w:hAnsi="Times New Roman" w:eastAsia="黑体"/>
          <w:kern w:val="0"/>
          <w:sz w:val="32"/>
          <w:szCs w:val="32"/>
          <w:lang w:bidi="ar"/>
        </w:rPr>
        <w:t>附件1</w:t>
      </w:r>
    </w:p>
    <w:p>
      <w:pPr>
        <w:tabs>
          <w:tab w:val="left" w:pos="2040"/>
        </w:tabs>
        <w:overflowPunct w:val="0"/>
        <w:topLinePunct/>
        <w:spacing w:line="600" w:lineRule="exact"/>
        <w:jc w:val="center"/>
        <w:rPr>
          <w:rFonts w:ascii="Times New Roman" w:hAnsi="Times New Roman" w:eastAsia="方正小标宋简体"/>
          <w:kern w:val="0"/>
          <w:sz w:val="44"/>
          <w:szCs w:val="44"/>
          <w:lang w:bidi="ar"/>
        </w:rPr>
      </w:pPr>
    </w:p>
    <w:p>
      <w:pPr>
        <w:tabs>
          <w:tab w:val="left" w:pos="2040"/>
        </w:tabs>
        <w:overflowPunct w:val="0"/>
        <w:topLinePunct/>
        <w:spacing w:line="600" w:lineRule="exact"/>
        <w:jc w:val="center"/>
        <w:rPr>
          <w:rFonts w:ascii="Times New Roman" w:hAnsi="Times New Roman" w:eastAsia="方正小标宋简体"/>
          <w:kern w:val="0"/>
          <w:sz w:val="44"/>
          <w:szCs w:val="44"/>
          <w:lang w:bidi="ar"/>
        </w:rPr>
      </w:pPr>
      <w:r>
        <w:rPr>
          <w:rFonts w:ascii="Times New Roman" w:hAnsi="Times New Roman" w:eastAsia="方正小标宋简体"/>
          <w:kern w:val="0"/>
          <w:sz w:val="44"/>
          <w:szCs w:val="44"/>
          <w:lang w:bidi="ar"/>
        </w:rPr>
        <w:t>2025年</w:t>
      </w:r>
      <w:r>
        <w:rPr>
          <w:rFonts w:hint="eastAsia" w:ascii="Times New Roman" w:hAnsi="Times New Roman" w:eastAsia="方正小标宋简体"/>
          <w:kern w:val="0"/>
          <w:sz w:val="44"/>
          <w:szCs w:val="44"/>
          <w:lang w:bidi="ar"/>
        </w:rPr>
        <w:t>1—5</w:t>
      </w:r>
      <w:r>
        <w:rPr>
          <w:rFonts w:ascii="Times New Roman" w:hAnsi="Times New Roman" w:eastAsia="方正小标宋简体"/>
          <w:kern w:val="0"/>
          <w:sz w:val="44"/>
          <w:szCs w:val="44"/>
          <w:lang w:bidi="ar"/>
        </w:rPr>
        <w:t>月国、省考核断面水质同比</w:t>
      </w:r>
      <w:r>
        <w:rPr>
          <w:rFonts w:ascii="Times New Roman" w:hAnsi="Times New Roman" w:eastAsia="方正小标宋简体"/>
          <w:sz w:val="44"/>
        </w:rPr>
        <w:t>改善</w:t>
      </w:r>
      <w:r>
        <w:rPr>
          <w:rFonts w:ascii="Times New Roman" w:hAnsi="Times New Roman" w:eastAsia="方正小标宋简体"/>
          <w:kern w:val="0"/>
          <w:sz w:val="44"/>
          <w:szCs w:val="44"/>
          <w:lang w:bidi="ar"/>
        </w:rPr>
        <w:t>情况统计表</w:t>
      </w:r>
    </w:p>
    <w:p>
      <w:pPr>
        <w:pStyle w:val="2"/>
        <w:overflowPunct w:val="0"/>
        <w:topLinePunct/>
        <w:spacing w:line="600" w:lineRule="exact"/>
        <w:rPr>
          <w:rFonts w:ascii="Times New Roman" w:hAnsi="Times New Roman"/>
        </w:rPr>
      </w:pPr>
    </w:p>
    <w:tbl>
      <w:tblPr>
        <w:tblStyle w:val="7"/>
        <w:tblW w:w="13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793"/>
        <w:gridCol w:w="1167"/>
        <w:gridCol w:w="1486"/>
        <w:gridCol w:w="1500"/>
        <w:gridCol w:w="1771"/>
        <w:gridCol w:w="1719"/>
        <w:gridCol w:w="1616"/>
        <w:gridCol w:w="1781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  <w:tblHeader/>
        </w:trPr>
        <w:tc>
          <w:tcPr>
            <w:tcW w:w="793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考核断面类别</w:t>
            </w: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所在流域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考核城市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断面名称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干流/支流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2024年</w:t>
            </w:r>
          </w:p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  <w:lang w:bidi="ar"/>
              </w:rPr>
              <w:t>1—5</w:t>
            </w: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月水质类别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2025年</w:t>
            </w:r>
          </w:p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  <w:lang w:bidi="ar"/>
              </w:rPr>
              <w:t>1—5</w:t>
            </w: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月水质类别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restar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国考</w:t>
            </w:r>
          </w:p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断面</w:t>
            </w: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沱江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德阳市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201医院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北河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Ⅳ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Ⅲ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2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沱江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德阳市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八角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绵远河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Ⅲ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3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沱江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内江市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葫芦口水库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葫芦口水库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4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沱江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德阳市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碾子湾村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富顺河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Ⅳ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Ⅲ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5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沱江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资阳市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谢家桥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索溪河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Ⅲ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6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岷江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成都市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二江寺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江安河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Ⅲ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7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岷江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雅安市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两合水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蒲江河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Ⅲ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8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岷江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阿坝州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色尔古乡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黑水河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9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岷江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成都市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泗江堰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西河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10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岷江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阿坝州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五里界牌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杂谷脑河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11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岷江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眉山市、内江市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于佳乡黄龙桥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越溪河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Ⅲ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12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雅砻江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甘孜州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长须干马乡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雅砻江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13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安宁河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凉山州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大桥水库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安宁河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14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安宁河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凉山州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邛海湖心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邛海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15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长江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宜宾市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珙泉镇三江村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长宁河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16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长江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泸州市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四明水厂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大陆溪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Ⅳ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Ⅲ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川渝跨界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restar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国考</w:t>
            </w:r>
          </w:p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断面</w:t>
            </w: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17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长江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甘孜州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香巴拉镇硕曲河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硕曲河（东旺河）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18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大渡河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甘孜州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歌乐沱乡色曲河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色曲河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19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大渡河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阿坝州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茸安乡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阿柯河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20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嘉陵江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广安市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金子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嘉陵江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川渝跨界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21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嘉陵江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阿坝州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郎木寺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白龙江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22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嘉陵江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广安市、重庆市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摇金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南溪河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Ⅲ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川渝跨界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23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涪江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遂宁市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玉溪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涪江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川渝跨界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24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渠江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达州市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舵石盘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州河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Ⅲ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25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渠江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达州市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苟家湾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月潭河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26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渠江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达州市、重庆市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上河坝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铜钵河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Ⅲ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川渝跨界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27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渠江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达州市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漩坑坝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后河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28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青衣江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眉山市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葫芦坝电站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周公河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restar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省考</w:t>
            </w:r>
          </w:p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断面</w:t>
            </w: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沱江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成都市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兰家桥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环溪河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Ⅲ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2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沱江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泸州市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官渡大桥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濑溪河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Ⅳ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Ⅲ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3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岷江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阿坝州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映秀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岷江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4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岷江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成都市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五星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蒲江河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Ⅲ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5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岷江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眉山市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箩筐坝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越溪河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bookmarkStart w:id="6" w:name="_GoBack"/>
            <w:bookmarkEnd w:id="6"/>
            <w:r>
              <w:rPr>
                <w:rFonts w:hint="eastAsia" w:ascii="Times New Roman" w:hAnsi="Times New Roman" w:eastAsia="仿宋_GB2312"/>
                <w:bCs/>
                <w:szCs w:val="21"/>
              </w:rPr>
              <w:t>Ⅲ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6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大渡河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乐山市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大渡河宜坪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大渡河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7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大渡河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乐山市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大渡河芝麻凼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大渡河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8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大渡河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雅安市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石棉丰乐乡三星村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大渡河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9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嘉陵江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南充市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彩虹桥（拉拉渡）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西充河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Ⅳ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Ⅲ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10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涪江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德阳市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凯江村大桥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凯江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Ⅲ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restar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省考</w:t>
            </w:r>
          </w:p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断面</w:t>
            </w: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11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涪江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绵阳市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垢家渡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梓江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Ⅲ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12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渠江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达州市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白鹤山（水井湾）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州河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Ⅲ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13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渠江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南充市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开源村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流江河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Ⅳ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Ⅲ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</w:tbl>
    <w:p>
      <w:pPr>
        <w:overflowPunct w:val="0"/>
        <w:topLinePunct/>
        <w:spacing w:line="600" w:lineRule="exact"/>
        <w:jc w:val="left"/>
        <w:rPr>
          <w:rFonts w:ascii="Times New Roman" w:hAnsi="Times New Roman" w:eastAsia="仿宋_GB2312"/>
          <w:bCs/>
          <w:szCs w:val="21"/>
        </w:rPr>
      </w:pPr>
      <w:r>
        <w:rPr>
          <w:rFonts w:ascii="Times New Roman" w:hAnsi="Times New Roman" w:eastAsia="仿宋_GB2312"/>
          <w:bCs/>
          <w:szCs w:val="21"/>
        </w:rPr>
        <w:br w:type="page"/>
      </w:r>
      <w:r>
        <w:rPr>
          <w:rFonts w:ascii="Times New Roman" w:hAnsi="Times New Roman" w:eastAsia="黑体"/>
          <w:kern w:val="0"/>
          <w:sz w:val="32"/>
          <w:szCs w:val="32"/>
          <w:lang w:bidi="ar"/>
        </w:rPr>
        <w:t>附件2</w:t>
      </w:r>
    </w:p>
    <w:p>
      <w:pPr>
        <w:tabs>
          <w:tab w:val="left" w:pos="2040"/>
        </w:tabs>
        <w:overflowPunct w:val="0"/>
        <w:topLinePunct/>
        <w:spacing w:line="600" w:lineRule="exact"/>
        <w:jc w:val="center"/>
        <w:rPr>
          <w:rFonts w:ascii="Times New Roman" w:hAnsi="Times New Roman" w:eastAsia="方正小标宋简体"/>
          <w:kern w:val="0"/>
          <w:sz w:val="44"/>
          <w:szCs w:val="44"/>
          <w:lang w:bidi="ar"/>
        </w:rPr>
      </w:pPr>
    </w:p>
    <w:p>
      <w:pPr>
        <w:tabs>
          <w:tab w:val="left" w:pos="2040"/>
        </w:tabs>
        <w:overflowPunct w:val="0"/>
        <w:topLinePunct/>
        <w:spacing w:line="600" w:lineRule="exact"/>
        <w:jc w:val="center"/>
        <w:rPr>
          <w:rFonts w:ascii="Times New Roman" w:hAnsi="Times New Roman" w:eastAsia="方正小标宋简体"/>
          <w:kern w:val="0"/>
          <w:sz w:val="44"/>
          <w:szCs w:val="44"/>
          <w:lang w:bidi="ar"/>
        </w:rPr>
      </w:pPr>
      <w:r>
        <w:rPr>
          <w:rFonts w:ascii="Times New Roman" w:hAnsi="Times New Roman" w:eastAsia="方正小标宋简体"/>
          <w:kern w:val="0"/>
          <w:sz w:val="44"/>
          <w:szCs w:val="44"/>
          <w:lang w:bidi="ar"/>
        </w:rPr>
        <w:t>2025年</w:t>
      </w:r>
      <w:r>
        <w:rPr>
          <w:rFonts w:hint="eastAsia" w:ascii="Times New Roman" w:hAnsi="Times New Roman" w:eastAsia="方正小标宋简体"/>
          <w:kern w:val="0"/>
          <w:sz w:val="44"/>
          <w:szCs w:val="44"/>
          <w:lang w:bidi="ar"/>
        </w:rPr>
        <w:t>1—5</w:t>
      </w:r>
      <w:r>
        <w:rPr>
          <w:rFonts w:ascii="Times New Roman" w:hAnsi="Times New Roman" w:eastAsia="方正小标宋简体"/>
          <w:kern w:val="0"/>
          <w:sz w:val="44"/>
          <w:szCs w:val="44"/>
          <w:lang w:bidi="ar"/>
        </w:rPr>
        <w:t>月国、省考核断面水质同比下降情况统计表</w:t>
      </w:r>
    </w:p>
    <w:p>
      <w:pPr>
        <w:overflowPunct w:val="0"/>
        <w:topLinePunct/>
        <w:spacing w:line="600" w:lineRule="exact"/>
        <w:jc w:val="center"/>
        <w:rPr>
          <w:rFonts w:ascii="Times New Roman" w:hAnsi="Times New Roman" w:eastAsia="仿宋_GB2312"/>
          <w:bCs/>
          <w:szCs w:val="21"/>
        </w:rPr>
      </w:pPr>
    </w:p>
    <w:tbl>
      <w:tblPr>
        <w:tblStyle w:val="7"/>
        <w:tblW w:w="135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708"/>
        <w:gridCol w:w="611"/>
        <w:gridCol w:w="1459"/>
        <w:gridCol w:w="1650"/>
        <w:gridCol w:w="1991"/>
        <w:gridCol w:w="1732"/>
        <w:gridCol w:w="1173"/>
        <w:gridCol w:w="1200"/>
        <w:gridCol w:w="1322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  <w:tblHeader/>
        </w:trPr>
        <w:tc>
          <w:tcPr>
            <w:tcW w:w="708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textAlignment w:val="center"/>
              <w:rPr>
                <w:rFonts w:ascii="Times New Roman" w:hAnsi="Times New Roman" w:eastAsia="黑体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考核断面类别</w:t>
            </w: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textAlignment w:val="center"/>
              <w:rPr>
                <w:rFonts w:ascii="Times New Roman" w:hAnsi="Times New Roman" w:eastAsia="黑体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textAlignment w:val="center"/>
              <w:rPr>
                <w:rFonts w:ascii="Times New Roman" w:hAnsi="Times New Roman" w:eastAsia="黑体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所在流域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textAlignment w:val="center"/>
              <w:rPr>
                <w:rFonts w:ascii="Times New Roman" w:hAnsi="Times New Roman" w:eastAsia="黑体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考核城市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textAlignment w:val="center"/>
              <w:rPr>
                <w:rFonts w:ascii="Times New Roman" w:hAnsi="Times New Roman" w:eastAsia="黑体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断面名称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textAlignment w:val="center"/>
              <w:rPr>
                <w:rFonts w:ascii="Times New Roman" w:hAnsi="Times New Roman" w:eastAsia="黑体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干流/支流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textAlignment w:val="center"/>
              <w:rPr>
                <w:rFonts w:ascii="Times New Roman" w:hAnsi="Times New Roman" w:eastAsia="黑体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2024年</w:t>
            </w:r>
          </w:p>
          <w:p>
            <w:pPr>
              <w:overflowPunct w:val="0"/>
              <w:topLinePunct/>
              <w:spacing w:line="340" w:lineRule="exact"/>
              <w:jc w:val="center"/>
              <w:textAlignment w:val="center"/>
              <w:rPr>
                <w:rFonts w:ascii="Times New Roman" w:hAnsi="Times New Roman" w:eastAsia="黑体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  <w:lang w:bidi="ar"/>
              </w:rPr>
              <w:t>1—5</w:t>
            </w: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月水质类别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textAlignment w:val="center"/>
              <w:rPr>
                <w:rFonts w:ascii="Times New Roman" w:hAnsi="Times New Roman" w:eastAsia="黑体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2025年</w:t>
            </w:r>
          </w:p>
          <w:p>
            <w:pPr>
              <w:overflowPunct w:val="0"/>
              <w:topLinePunct/>
              <w:spacing w:line="340" w:lineRule="exact"/>
              <w:jc w:val="center"/>
              <w:textAlignment w:val="center"/>
              <w:rPr>
                <w:rFonts w:ascii="Times New Roman" w:hAnsi="Times New Roman" w:eastAsia="黑体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  <w:lang w:bidi="ar"/>
              </w:rPr>
              <w:t>1—5</w:t>
            </w: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月水质类别</w:t>
            </w:r>
          </w:p>
        </w:tc>
        <w:tc>
          <w:tcPr>
            <w:tcW w:w="132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textAlignment w:val="center"/>
              <w:rPr>
                <w:rFonts w:ascii="Times New Roman" w:hAnsi="Times New Roman" w:eastAsia="黑体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超</w:t>
            </w:r>
            <w:r>
              <w:rPr>
                <w:rFonts w:hint="eastAsia" w:ascii="Times New Roman" w:hAnsi="Times New Roman" w:cs="宋体"/>
                <w:kern w:val="0"/>
                <w:szCs w:val="21"/>
                <w:lang w:bidi="ar"/>
              </w:rPr>
              <w:t>Ⅲ</w:t>
            </w: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标准因子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textAlignment w:val="center"/>
              <w:rPr>
                <w:rFonts w:ascii="Times New Roman" w:hAnsi="Times New Roman" w:eastAsia="黑体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45" w:hRule="atLeast"/>
        </w:trPr>
        <w:tc>
          <w:tcPr>
            <w:tcW w:w="708" w:type="dxa"/>
            <w:vMerge w:val="restar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国考</w:t>
            </w:r>
          </w:p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断面</w:t>
            </w: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沱江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德阳市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红岩寺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绵远河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35" w:hRule="atLeast"/>
        </w:trPr>
        <w:tc>
          <w:tcPr>
            <w:tcW w:w="708" w:type="dxa"/>
            <w:vMerge w:val="continue"/>
          </w:tcPr>
          <w:p>
            <w:pPr>
              <w:tabs>
                <w:tab w:val="left" w:pos="2040"/>
              </w:tabs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Cs w:val="21"/>
                <w:lang w:bidi="ar"/>
              </w:rPr>
            </w:pP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2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沱江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成都市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宏缘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沱江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Ⅲ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73" w:hRule="atLeast"/>
        </w:trPr>
        <w:tc>
          <w:tcPr>
            <w:tcW w:w="708" w:type="dxa"/>
            <w:vMerge w:val="continue"/>
          </w:tcPr>
          <w:p>
            <w:pPr>
              <w:tabs>
                <w:tab w:val="left" w:pos="2040"/>
              </w:tabs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Cs w:val="21"/>
                <w:lang w:bidi="ar"/>
              </w:rPr>
            </w:pP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3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沱江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内江市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李家碥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大清流河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Ⅲ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Ⅳ</w:t>
            </w:r>
          </w:p>
        </w:tc>
        <w:tc>
          <w:tcPr>
            <w:tcW w:w="132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化学需氧量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20.5mg/L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超标0.02倍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川渝跨界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97" w:hRule="atLeast"/>
        </w:trPr>
        <w:tc>
          <w:tcPr>
            <w:tcW w:w="708" w:type="dxa"/>
            <w:vMerge w:val="continue"/>
          </w:tcPr>
          <w:p>
            <w:pPr>
              <w:tabs>
                <w:tab w:val="left" w:pos="2040"/>
              </w:tabs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Cs w:val="21"/>
                <w:lang w:bidi="ar"/>
              </w:rPr>
            </w:pP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4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沱江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德阳市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清平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绵远河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708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Cs w:val="21"/>
                <w:lang w:bidi="ar"/>
              </w:rPr>
            </w:pP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5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雅砻江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甘孜州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雄坝乡无量河大桥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理塘河（无量河）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708" w:type="dxa"/>
            <w:vMerge w:val="continue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Cs w:val="21"/>
                <w:lang w:bidi="ar"/>
              </w:rPr>
            </w:pP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6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安宁河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凉山州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昔街大桥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安宁河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708" w:type="dxa"/>
            <w:vMerge w:val="continue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Cs w:val="21"/>
                <w:lang w:bidi="ar"/>
              </w:rPr>
            </w:pP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7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长江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宜宾市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蔡家渡口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长宁河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Ⅲ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708" w:type="dxa"/>
            <w:vMerge w:val="continue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Cs w:val="21"/>
                <w:lang w:bidi="ar"/>
              </w:rPr>
            </w:pP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8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长江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甘孜州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格学桥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赠曲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Ⅲ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708" w:type="dxa"/>
            <w:vMerge w:val="continue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Cs w:val="21"/>
                <w:lang w:bidi="ar"/>
              </w:rPr>
            </w:pP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9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长江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甘孜州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香格里拉镇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水洛河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708" w:type="dxa"/>
            <w:vMerge w:val="continue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10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嘉陵江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广元市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上石盘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嘉陵江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708" w:type="dxa"/>
            <w:vMerge w:val="continue"/>
          </w:tcPr>
          <w:p>
            <w:pPr>
              <w:tabs>
                <w:tab w:val="left" w:pos="2040"/>
              </w:tabs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Cs w:val="21"/>
                <w:lang w:bidi="ar"/>
              </w:rPr>
            </w:pP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11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涪江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绵阳市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楼房沟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涪江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708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12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涪江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绵阳市、德阳市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双堰村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秀水河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708" w:type="dxa"/>
            <w:vMerge w:val="restar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国考</w:t>
            </w:r>
          </w:p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断面</w:t>
            </w: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13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涪江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绵阳市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天仙镇大佛寺渡口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梓江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Ⅲ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708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14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涪江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遂宁市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梓江大桥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梓江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Ⅲ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708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15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渠江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达州市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牛角滩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平滩河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Ⅲ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川渝跨界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708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16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黄河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甘南州、阿坝州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玛曲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黄河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708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17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琼江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资阳市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白沙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姚市河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Ⅲ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Ⅳ</w:t>
            </w:r>
          </w:p>
        </w:tc>
        <w:tc>
          <w:tcPr>
            <w:tcW w:w="132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化学需氧量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20.7mg/L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超标0.04倍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川渝跨界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708" w:type="dxa"/>
            <w:vMerge w:val="restar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省考</w:t>
            </w:r>
          </w:p>
          <w:p>
            <w:pPr>
              <w:overflowPunct w:val="0"/>
              <w:topLinePunct/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断面</w:t>
            </w: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沱江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成都市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三皇庙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沱江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Ⅲ</w:t>
            </w:r>
          </w:p>
        </w:tc>
        <w:tc>
          <w:tcPr>
            <w:tcW w:w="132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708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2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岷江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阿坝州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寿溪水磨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寿溪河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32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708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3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雅砻江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甘孜州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雅江县318国道71km处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格西沟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32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708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4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雅砻江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甘孜州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鲜水河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鲜水河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32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708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5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雅砻江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甘孜州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呷拉乡雅砻江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雅砻江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32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708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6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长江（金沙江）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凉山州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西溪河大桥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西溪河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32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708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7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长江（金沙江）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宜宾市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黄泥咀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宋江河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Ⅲ</w:t>
            </w:r>
          </w:p>
        </w:tc>
        <w:tc>
          <w:tcPr>
            <w:tcW w:w="132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708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8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长江（金沙江）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宜宾市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楠木沟大桥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长宁河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Ⅲ</w:t>
            </w:r>
          </w:p>
        </w:tc>
        <w:tc>
          <w:tcPr>
            <w:tcW w:w="132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708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9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大渡河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阿坝州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茸木达乡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则曲河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32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708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10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嘉陵江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广元市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红岩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嘉陵江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32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708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11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嘉陵江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广元市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荣山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南河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32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708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12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嘉陵江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广元市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坝前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白龙湖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708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13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涪江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绵阳市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安州区界牌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安昌河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708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14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黄河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阿坝州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贾柯牧场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贾曲河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</w:tbl>
    <w:p>
      <w:pPr>
        <w:pStyle w:val="2"/>
        <w:overflowPunct w:val="0"/>
        <w:topLinePunct/>
        <w:rPr>
          <w:rFonts w:ascii="Times New Roman" w:hAnsi="Times New Roman" w:eastAsia="仿宋_GB2312"/>
          <w:bCs/>
          <w:szCs w:val="21"/>
        </w:rPr>
      </w:pPr>
    </w:p>
    <w:p>
      <w:pPr>
        <w:overflowPunct w:val="0"/>
        <w:topLinePunct/>
        <w:jc w:val="left"/>
        <w:rPr>
          <w:rStyle w:val="12"/>
          <w:rFonts w:hint="default" w:ascii="Times New Roman" w:hAnsi="Times New Roman" w:eastAsia="黑体"/>
          <w:sz w:val="32"/>
          <w:szCs w:val="32"/>
        </w:rPr>
      </w:pPr>
      <w:r>
        <w:rPr>
          <w:rStyle w:val="12"/>
          <w:rFonts w:hint="default" w:ascii="Times New Roman" w:hAnsi="Times New Roman" w:eastAsia="黑体"/>
          <w:sz w:val="32"/>
          <w:szCs w:val="32"/>
        </w:rPr>
        <w:br w:type="page"/>
      </w:r>
      <w:r>
        <w:rPr>
          <w:rStyle w:val="12"/>
          <w:rFonts w:hint="default" w:ascii="Times New Roman" w:hAnsi="Times New Roman" w:eastAsia="黑体"/>
          <w:sz w:val="32"/>
          <w:szCs w:val="32"/>
        </w:rPr>
        <w:t>附件3</w:t>
      </w:r>
    </w:p>
    <w:p>
      <w:pPr>
        <w:overflowPunct w:val="0"/>
        <w:topLinePunct/>
        <w:spacing w:line="600" w:lineRule="exact"/>
        <w:rPr>
          <w:rStyle w:val="12"/>
          <w:rFonts w:hint="default" w:ascii="Times New Roman" w:hAnsi="Times New Roman" w:eastAsia="黑体"/>
          <w:sz w:val="32"/>
          <w:szCs w:val="32"/>
        </w:rPr>
      </w:pPr>
    </w:p>
    <w:p>
      <w:pPr>
        <w:overflowPunct w:val="0"/>
        <w:topLinePunct/>
        <w:spacing w:line="600" w:lineRule="exact"/>
        <w:jc w:val="center"/>
        <w:rPr>
          <w:rFonts w:ascii="Times New Roman" w:hAnsi="Times New Roman" w:eastAsia="方正小标宋简体"/>
          <w:sz w:val="44"/>
        </w:rPr>
      </w:pPr>
      <w:r>
        <w:rPr>
          <w:rFonts w:ascii="Times New Roman" w:hAnsi="Times New Roman" w:eastAsia="方正小标宋简体"/>
          <w:sz w:val="44"/>
        </w:rPr>
        <w:t>2025年</w:t>
      </w:r>
      <w:r>
        <w:rPr>
          <w:rFonts w:hint="eastAsia" w:ascii="Times New Roman" w:hAnsi="Times New Roman" w:eastAsia="方正小标宋简体"/>
          <w:sz w:val="44"/>
        </w:rPr>
        <w:t>1—5</w:t>
      </w:r>
      <w:r>
        <w:rPr>
          <w:rFonts w:ascii="Times New Roman" w:hAnsi="Times New Roman" w:eastAsia="方正小标宋简体"/>
          <w:sz w:val="44"/>
        </w:rPr>
        <w:t>月重点湖库营养状态评价结果表</w:t>
      </w:r>
    </w:p>
    <w:p>
      <w:pPr>
        <w:pStyle w:val="3"/>
        <w:keepNext w:val="0"/>
        <w:keepLines w:val="0"/>
        <w:overflowPunct w:val="0"/>
        <w:topLinePunct/>
        <w:spacing w:before="0" w:after="0" w:line="600" w:lineRule="exact"/>
        <w:rPr>
          <w:rFonts w:ascii="Times New Roman" w:hAnsi="Times New Roman"/>
        </w:rPr>
      </w:pPr>
    </w:p>
    <w:tbl>
      <w:tblPr>
        <w:tblStyle w:val="7"/>
        <w:tblW w:w="134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1638"/>
        <w:gridCol w:w="3040"/>
        <w:gridCol w:w="3336"/>
        <w:gridCol w:w="2478"/>
        <w:gridCol w:w="2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0" w:hRule="atLeast"/>
          <w:tblHeader/>
          <w:jc w:val="center"/>
        </w:trPr>
        <w:tc>
          <w:tcPr>
            <w:tcW w:w="1638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3040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  <w:lang w:bidi="ar"/>
              </w:rPr>
              <w:t>湖库名称</w:t>
            </w:r>
          </w:p>
        </w:tc>
        <w:tc>
          <w:tcPr>
            <w:tcW w:w="3336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  <w:lang w:bidi="ar"/>
              </w:rPr>
              <w:t>断面名称</w:t>
            </w:r>
          </w:p>
        </w:tc>
        <w:tc>
          <w:tcPr>
            <w:tcW w:w="2478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  <w:lang w:bidi="ar"/>
              </w:rPr>
              <w:t>断面性质</w:t>
            </w:r>
          </w:p>
        </w:tc>
        <w:tc>
          <w:tcPr>
            <w:tcW w:w="2991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  <w:lang w:bidi="ar"/>
              </w:rPr>
              <w:t>营养状态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1638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  <w:tc>
          <w:tcPr>
            <w:tcW w:w="3040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邛海</w:t>
            </w:r>
          </w:p>
        </w:tc>
        <w:tc>
          <w:tcPr>
            <w:tcW w:w="3336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邛海湖心</w:t>
            </w:r>
          </w:p>
        </w:tc>
        <w:tc>
          <w:tcPr>
            <w:tcW w:w="2478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国考断面</w:t>
            </w:r>
          </w:p>
        </w:tc>
        <w:tc>
          <w:tcPr>
            <w:tcW w:w="2991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贫营养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1638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</w:t>
            </w:r>
          </w:p>
        </w:tc>
        <w:tc>
          <w:tcPr>
            <w:tcW w:w="3040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葫芦口水库</w:t>
            </w:r>
          </w:p>
        </w:tc>
        <w:tc>
          <w:tcPr>
            <w:tcW w:w="3336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葫芦口水库</w:t>
            </w:r>
          </w:p>
        </w:tc>
        <w:tc>
          <w:tcPr>
            <w:tcW w:w="2478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国考断面</w:t>
            </w:r>
          </w:p>
        </w:tc>
        <w:tc>
          <w:tcPr>
            <w:tcW w:w="2991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中营养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1638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</w:t>
            </w:r>
          </w:p>
        </w:tc>
        <w:tc>
          <w:tcPr>
            <w:tcW w:w="3040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泸沽湖</w:t>
            </w:r>
          </w:p>
        </w:tc>
        <w:tc>
          <w:tcPr>
            <w:tcW w:w="3336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泸沽湖湖心</w:t>
            </w:r>
          </w:p>
        </w:tc>
        <w:tc>
          <w:tcPr>
            <w:tcW w:w="2478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国考断面</w:t>
            </w:r>
          </w:p>
        </w:tc>
        <w:tc>
          <w:tcPr>
            <w:tcW w:w="2991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贫营养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1638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4</w:t>
            </w:r>
          </w:p>
        </w:tc>
        <w:tc>
          <w:tcPr>
            <w:tcW w:w="3040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鲁班水库</w:t>
            </w:r>
          </w:p>
        </w:tc>
        <w:tc>
          <w:tcPr>
            <w:tcW w:w="3336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鲁班岛</w:t>
            </w:r>
          </w:p>
        </w:tc>
        <w:tc>
          <w:tcPr>
            <w:tcW w:w="2478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国考断面</w:t>
            </w:r>
          </w:p>
        </w:tc>
        <w:tc>
          <w:tcPr>
            <w:tcW w:w="2991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中营养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1638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5</w:t>
            </w:r>
          </w:p>
        </w:tc>
        <w:tc>
          <w:tcPr>
            <w:tcW w:w="3040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紫坪铺水库</w:t>
            </w:r>
          </w:p>
        </w:tc>
        <w:tc>
          <w:tcPr>
            <w:tcW w:w="3336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跨库大桥</w:t>
            </w:r>
          </w:p>
        </w:tc>
        <w:tc>
          <w:tcPr>
            <w:tcW w:w="2478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省考断面</w:t>
            </w:r>
          </w:p>
        </w:tc>
        <w:tc>
          <w:tcPr>
            <w:tcW w:w="2991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贫营养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1638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6</w:t>
            </w:r>
          </w:p>
        </w:tc>
        <w:tc>
          <w:tcPr>
            <w:tcW w:w="3040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三岔湖</w:t>
            </w:r>
          </w:p>
        </w:tc>
        <w:tc>
          <w:tcPr>
            <w:tcW w:w="3336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库中测点</w:t>
            </w:r>
          </w:p>
        </w:tc>
        <w:tc>
          <w:tcPr>
            <w:tcW w:w="2478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省考断面</w:t>
            </w:r>
          </w:p>
        </w:tc>
        <w:tc>
          <w:tcPr>
            <w:tcW w:w="2991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中营养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1638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7</w:t>
            </w:r>
          </w:p>
        </w:tc>
        <w:tc>
          <w:tcPr>
            <w:tcW w:w="3040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双溪水库</w:t>
            </w:r>
          </w:p>
        </w:tc>
        <w:tc>
          <w:tcPr>
            <w:tcW w:w="3336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起水站</w:t>
            </w:r>
          </w:p>
        </w:tc>
        <w:tc>
          <w:tcPr>
            <w:tcW w:w="2478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省考断面</w:t>
            </w:r>
          </w:p>
        </w:tc>
        <w:tc>
          <w:tcPr>
            <w:tcW w:w="2991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中营养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1638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8</w:t>
            </w:r>
          </w:p>
        </w:tc>
        <w:tc>
          <w:tcPr>
            <w:tcW w:w="3040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二滩水库</w:t>
            </w:r>
          </w:p>
        </w:tc>
        <w:tc>
          <w:tcPr>
            <w:tcW w:w="3336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红壁滩下</w:t>
            </w:r>
          </w:p>
        </w:tc>
        <w:tc>
          <w:tcPr>
            <w:tcW w:w="2478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省考断面</w:t>
            </w:r>
          </w:p>
        </w:tc>
        <w:tc>
          <w:tcPr>
            <w:tcW w:w="2991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贫营养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1638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9</w:t>
            </w:r>
          </w:p>
        </w:tc>
        <w:tc>
          <w:tcPr>
            <w:tcW w:w="3040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白龙湖</w:t>
            </w:r>
          </w:p>
        </w:tc>
        <w:tc>
          <w:tcPr>
            <w:tcW w:w="3336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坝前</w:t>
            </w:r>
          </w:p>
        </w:tc>
        <w:tc>
          <w:tcPr>
            <w:tcW w:w="2478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省考断面</w:t>
            </w:r>
          </w:p>
        </w:tc>
        <w:tc>
          <w:tcPr>
            <w:tcW w:w="2991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贫营养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1638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10</w:t>
            </w:r>
          </w:p>
        </w:tc>
        <w:tc>
          <w:tcPr>
            <w:tcW w:w="3040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升钟水库</w:t>
            </w:r>
          </w:p>
        </w:tc>
        <w:tc>
          <w:tcPr>
            <w:tcW w:w="3336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李家坝</w:t>
            </w:r>
          </w:p>
        </w:tc>
        <w:tc>
          <w:tcPr>
            <w:tcW w:w="2478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省考断面</w:t>
            </w:r>
          </w:p>
        </w:tc>
        <w:tc>
          <w:tcPr>
            <w:tcW w:w="2991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中营养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1638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11</w:t>
            </w:r>
          </w:p>
        </w:tc>
        <w:tc>
          <w:tcPr>
            <w:tcW w:w="3040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黑龙滩水库</w:t>
            </w:r>
          </w:p>
        </w:tc>
        <w:tc>
          <w:tcPr>
            <w:tcW w:w="3336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龙庙</w:t>
            </w:r>
          </w:p>
        </w:tc>
        <w:tc>
          <w:tcPr>
            <w:tcW w:w="2478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省考断面</w:t>
            </w:r>
          </w:p>
        </w:tc>
        <w:tc>
          <w:tcPr>
            <w:tcW w:w="2991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中营养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1638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12</w:t>
            </w:r>
          </w:p>
        </w:tc>
        <w:tc>
          <w:tcPr>
            <w:tcW w:w="3040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瀑布沟</w:t>
            </w:r>
          </w:p>
        </w:tc>
        <w:tc>
          <w:tcPr>
            <w:tcW w:w="3336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青富</w:t>
            </w:r>
          </w:p>
        </w:tc>
        <w:tc>
          <w:tcPr>
            <w:tcW w:w="2478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省考断面</w:t>
            </w:r>
          </w:p>
        </w:tc>
        <w:tc>
          <w:tcPr>
            <w:tcW w:w="2991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中营养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75" w:hRule="atLeast"/>
          <w:jc w:val="center"/>
        </w:trPr>
        <w:tc>
          <w:tcPr>
            <w:tcW w:w="1638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13</w:t>
            </w:r>
          </w:p>
        </w:tc>
        <w:tc>
          <w:tcPr>
            <w:tcW w:w="3040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老鹰水库</w:t>
            </w:r>
          </w:p>
        </w:tc>
        <w:tc>
          <w:tcPr>
            <w:tcW w:w="3336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吉乐村</w:t>
            </w:r>
          </w:p>
        </w:tc>
        <w:tc>
          <w:tcPr>
            <w:tcW w:w="2478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省考断面</w:t>
            </w:r>
          </w:p>
        </w:tc>
        <w:tc>
          <w:tcPr>
            <w:tcW w:w="2991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中营养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1638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14</w:t>
            </w:r>
          </w:p>
        </w:tc>
        <w:tc>
          <w:tcPr>
            <w:tcW w:w="3040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沉抗水库</w:t>
            </w:r>
          </w:p>
        </w:tc>
        <w:tc>
          <w:tcPr>
            <w:tcW w:w="3336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沉抗水库</w:t>
            </w:r>
          </w:p>
        </w:tc>
        <w:tc>
          <w:tcPr>
            <w:tcW w:w="2478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省考断面</w:t>
            </w:r>
          </w:p>
        </w:tc>
        <w:tc>
          <w:tcPr>
            <w:tcW w:w="2991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中营养</w:t>
            </w:r>
          </w:p>
        </w:tc>
      </w:tr>
    </w:tbl>
    <w:p>
      <w:pPr>
        <w:overflowPunct w:val="0"/>
        <w:topLinePunct/>
        <w:spacing w:line="600" w:lineRule="exact"/>
        <w:rPr>
          <w:rStyle w:val="12"/>
          <w:rFonts w:hint="default" w:ascii="Times New Roman" w:hAnsi="Times New Roman" w:eastAsia="黑体"/>
          <w:sz w:val="32"/>
          <w:szCs w:val="32"/>
        </w:rPr>
      </w:pPr>
      <w:r>
        <w:rPr>
          <w:rStyle w:val="12"/>
          <w:rFonts w:hint="default" w:ascii="Times New Roman" w:hAnsi="Times New Roman" w:eastAsia="黑体"/>
          <w:sz w:val="32"/>
          <w:szCs w:val="32"/>
        </w:rPr>
        <w:t>附件4</w:t>
      </w:r>
    </w:p>
    <w:p>
      <w:pPr>
        <w:overflowPunct w:val="0"/>
        <w:topLinePunct/>
        <w:spacing w:line="600" w:lineRule="exact"/>
        <w:rPr>
          <w:rStyle w:val="12"/>
          <w:rFonts w:hint="default" w:ascii="Times New Roman" w:hAnsi="Times New Roman" w:eastAsia="黑体"/>
          <w:sz w:val="28"/>
          <w:szCs w:val="32"/>
        </w:rPr>
      </w:pPr>
    </w:p>
    <w:p>
      <w:pPr>
        <w:overflowPunct w:val="0"/>
        <w:topLinePunct/>
        <w:spacing w:line="600" w:lineRule="exact"/>
        <w:jc w:val="center"/>
        <w:outlineLvl w:val="0"/>
        <w:rPr>
          <w:rFonts w:ascii="Times New Roman" w:hAnsi="Times New Roman" w:eastAsia="方正小标宋简体"/>
          <w:sz w:val="44"/>
          <w:szCs w:val="32"/>
        </w:rPr>
      </w:pPr>
      <w:r>
        <w:rPr>
          <w:rFonts w:hint="eastAsia" w:ascii="Times New Roman" w:hAnsi="Times New Roman" w:eastAsia="方正小标宋简体"/>
          <w:sz w:val="44"/>
          <w:szCs w:val="32"/>
        </w:rPr>
        <w:t>2025年1—5月全省环境空气质量情况</w:t>
      </w:r>
    </w:p>
    <w:p>
      <w:pPr>
        <w:pStyle w:val="2"/>
        <w:overflowPunct w:val="0"/>
        <w:topLinePunct/>
        <w:spacing w:line="600" w:lineRule="exact"/>
        <w:rPr>
          <w:rFonts w:ascii="Times New Roman" w:hAnsi="Times New Roman"/>
        </w:rPr>
      </w:pPr>
    </w:p>
    <w:tbl>
      <w:tblPr>
        <w:tblStyle w:val="7"/>
        <w:tblW w:w="13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63"/>
        <w:gridCol w:w="1274"/>
        <w:gridCol w:w="1116"/>
        <w:gridCol w:w="1135"/>
        <w:gridCol w:w="1276"/>
        <w:gridCol w:w="1702"/>
        <w:gridCol w:w="1556"/>
        <w:gridCol w:w="1702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tblHeader/>
          <w:jc w:val="center"/>
        </w:trPr>
        <w:tc>
          <w:tcPr>
            <w:tcW w:w="1863" w:type="dxa"/>
            <w:vMerge w:val="restar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区域</w:t>
            </w:r>
          </w:p>
        </w:tc>
        <w:tc>
          <w:tcPr>
            <w:tcW w:w="1274" w:type="dxa"/>
            <w:vMerge w:val="restar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市（州）</w:t>
            </w:r>
          </w:p>
        </w:tc>
        <w:tc>
          <w:tcPr>
            <w:tcW w:w="2251" w:type="dxa"/>
            <w:gridSpan w:val="2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PM</w:t>
            </w:r>
            <w:r>
              <w:rPr>
                <w:rFonts w:ascii="Times New Roman" w:hAnsi="Times New Roman" w:eastAsia="黑体"/>
                <w:bCs/>
                <w:kern w:val="0"/>
                <w:sz w:val="24"/>
                <w:vertAlign w:val="subscript"/>
              </w:rPr>
              <w:t>2.5</w:t>
            </w:r>
          </w:p>
        </w:tc>
        <w:tc>
          <w:tcPr>
            <w:tcW w:w="2978" w:type="dxa"/>
            <w:gridSpan w:val="2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优良天数</w:t>
            </w: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比</w:t>
            </w: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率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重污染天数</w:t>
            </w:r>
          </w:p>
        </w:tc>
        <w:tc>
          <w:tcPr>
            <w:tcW w:w="1697" w:type="dxa"/>
            <w:vMerge w:val="restar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环境空气质量</w:t>
            </w:r>
          </w:p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综合指数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tblHeader/>
          <w:jc w:val="center"/>
        </w:trPr>
        <w:tc>
          <w:tcPr>
            <w:tcW w:w="186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</w:p>
        </w:tc>
        <w:tc>
          <w:tcPr>
            <w:tcW w:w="1274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浓度</w:t>
            </w:r>
          </w:p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（μ</w:t>
            </w:r>
            <w:r>
              <w:rPr>
                <w:rFonts w:ascii="Times New Roman" w:hAnsi="Times New Roman" w:eastAsia="黑体"/>
                <w:sz w:val="24"/>
              </w:rPr>
              <w:t>g/m</w:t>
            </w:r>
            <w:r>
              <w:rPr>
                <w:rFonts w:ascii="Times New Roman" w:hAnsi="Times New Roman" w:eastAsia="黑体"/>
                <w:sz w:val="24"/>
                <w:vertAlign w:val="superscript"/>
              </w:rPr>
              <w:t>3</w:t>
            </w: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）</w:t>
            </w:r>
          </w:p>
        </w:tc>
        <w:tc>
          <w:tcPr>
            <w:tcW w:w="113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同比</w:t>
            </w:r>
          </w:p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202</w:t>
            </w: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4</w:t>
            </w: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年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实测值（%）</w:t>
            </w:r>
          </w:p>
        </w:tc>
        <w:tc>
          <w:tcPr>
            <w:tcW w:w="170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同比202</w:t>
            </w: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4</w:t>
            </w: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年</w:t>
            </w:r>
          </w:p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（百分点）</w:t>
            </w:r>
          </w:p>
        </w:tc>
        <w:tc>
          <w:tcPr>
            <w:tcW w:w="1556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重污染天数</w:t>
            </w:r>
          </w:p>
        </w:tc>
        <w:tc>
          <w:tcPr>
            <w:tcW w:w="1702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同比202</w:t>
            </w:r>
            <w:r>
              <w:rPr>
                <w:rFonts w:hint="eastAsia" w:ascii="Times New Roman" w:hAnsi="Times New Roman" w:eastAsia="黑体"/>
                <w:kern w:val="0"/>
                <w:sz w:val="24"/>
              </w:rPr>
              <w:t>4</w:t>
            </w:r>
            <w:r>
              <w:rPr>
                <w:rFonts w:ascii="Times New Roman" w:hAnsi="Times New Roman" w:eastAsia="黑体"/>
                <w:kern w:val="0"/>
                <w:sz w:val="24"/>
              </w:rPr>
              <w:t>年（天）</w:t>
            </w:r>
          </w:p>
        </w:tc>
        <w:tc>
          <w:tcPr>
            <w:tcW w:w="1697" w:type="dxa"/>
            <w:vMerge w:val="continue"/>
          </w:tcPr>
          <w:p>
            <w:pPr>
              <w:overflowPunct w:val="0"/>
              <w:topLinePunct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863" w:type="dxa"/>
            <w:vMerge w:val="restart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成都平原地区</w:t>
            </w: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成都市</w:t>
            </w:r>
          </w:p>
        </w:tc>
        <w:tc>
          <w:tcPr>
            <w:tcW w:w="1116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39.8</w:t>
            </w:r>
          </w:p>
        </w:tc>
        <w:tc>
          <w:tcPr>
            <w:tcW w:w="1135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-0.3%</w:t>
            </w:r>
          </w:p>
        </w:tc>
        <w:tc>
          <w:tcPr>
            <w:tcW w:w="1276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83.4</w:t>
            </w:r>
          </w:p>
        </w:tc>
        <w:tc>
          <w:tcPr>
            <w:tcW w:w="1702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556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</w:t>
            </w:r>
          </w:p>
        </w:tc>
        <w:tc>
          <w:tcPr>
            <w:tcW w:w="1702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等线"/>
                <w:sz w:val="24"/>
              </w:rPr>
              <w:t>2</w:t>
            </w:r>
          </w:p>
        </w:tc>
        <w:tc>
          <w:tcPr>
            <w:tcW w:w="1697" w:type="dxa"/>
            <w:vAlign w:val="bottom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1863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德阳市</w:t>
            </w:r>
          </w:p>
        </w:tc>
        <w:tc>
          <w:tcPr>
            <w:tcW w:w="1116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46.9</w:t>
            </w:r>
          </w:p>
        </w:tc>
        <w:tc>
          <w:tcPr>
            <w:tcW w:w="1135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11.4%</w:t>
            </w:r>
          </w:p>
        </w:tc>
        <w:tc>
          <w:tcPr>
            <w:tcW w:w="1276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74.2</w:t>
            </w:r>
          </w:p>
        </w:tc>
        <w:tc>
          <w:tcPr>
            <w:tcW w:w="1702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-8.0</w:t>
            </w:r>
          </w:p>
        </w:tc>
        <w:tc>
          <w:tcPr>
            <w:tcW w:w="1556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2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等线"/>
                <w:sz w:val="24"/>
              </w:rPr>
              <w:t>1</w:t>
            </w:r>
          </w:p>
        </w:tc>
        <w:tc>
          <w:tcPr>
            <w:tcW w:w="1697" w:type="dxa"/>
            <w:vAlign w:val="bottom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863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绵阳市</w:t>
            </w:r>
          </w:p>
        </w:tc>
        <w:tc>
          <w:tcPr>
            <w:tcW w:w="1116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41.0</w:t>
            </w:r>
          </w:p>
        </w:tc>
        <w:tc>
          <w:tcPr>
            <w:tcW w:w="1135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-4.2%</w:t>
            </w:r>
          </w:p>
        </w:tc>
        <w:tc>
          <w:tcPr>
            <w:tcW w:w="1276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83.4</w:t>
            </w:r>
          </w:p>
        </w:tc>
        <w:tc>
          <w:tcPr>
            <w:tcW w:w="1702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-2.1</w:t>
            </w:r>
          </w:p>
        </w:tc>
        <w:tc>
          <w:tcPr>
            <w:tcW w:w="1556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02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等线"/>
                <w:sz w:val="24"/>
              </w:rPr>
              <w:t>-1</w:t>
            </w:r>
          </w:p>
        </w:tc>
        <w:tc>
          <w:tcPr>
            <w:tcW w:w="1697" w:type="dxa"/>
            <w:vAlign w:val="bottom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1863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遂宁市</w:t>
            </w:r>
          </w:p>
        </w:tc>
        <w:tc>
          <w:tcPr>
            <w:tcW w:w="1116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37.9</w:t>
            </w:r>
          </w:p>
        </w:tc>
        <w:tc>
          <w:tcPr>
            <w:tcW w:w="1135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22.7%</w:t>
            </w:r>
          </w:p>
        </w:tc>
        <w:tc>
          <w:tcPr>
            <w:tcW w:w="1276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78.8</w:t>
            </w:r>
          </w:p>
        </w:tc>
        <w:tc>
          <w:tcPr>
            <w:tcW w:w="1702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-15.3</w:t>
            </w:r>
          </w:p>
        </w:tc>
        <w:tc>
          <w:tcPr>
            <w:tcW w:w="1556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2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等线"/>
                <w:sz w:val="24"/>
              </w:rPr>
              <w:t>1</w:t>
            </w:r>
          </w:p>
        </w:tc>
        <w:tc>
          <w:tcPr>
            <w:tcW w:w="1697" w:type="dxa"/>
            <w:vAlign w:val="bottom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863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乐山市</w:t>
            </w:r>
          </w:p>
        </w:tc>
        <w:tc>
          <w:tcPr>
            <w:tcW w:w="1116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43.1</w:t>
            </w:r>
          </w:p>
        </w:tc>
        <w:tc>
          <w:tcPr>
            <w:tcW w:w="1135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-6.9%</w:t>
            </w:r>
          </w:p>
        </w:tc>
        <w:tc>
          <w:tcPr>
            <w:tcW w:w="1276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80.8</w:t>
            </w:r>
          </w:p>
        </w:tc>
        <w:tc>
          <w:tcPr>
            <w:tcW w:w="1702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556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02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等线"/>
                <w:sz w:val="24"/>
              </w:rPr>
              <w:t>-2</w:t>
            </w:r>
          </w:p>
        </w:tc>
        <w:tc>
          <w:tcPr>
            <w:tcW w:w="1697" w:type="dxa"/>
            <w:vAlign w:val="bottom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1863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眉山市</w:t>
            </w:r>
          </w:p>
        </w:tc>
        <w:tc>
          <w:tcPr>
            <w:tcW w:w="1116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44.2</w:t>
            </w:r>
          </w:p>
        </w:tc>
        <w:tc>
          <w:tcPr>
            <w:tcW w:w="1135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4.7%</w:t>
            </w:r>
          </w:p>
        </w:tc>
        <w:tc>
          <w:tcPr>
            <w:tcW w:w="1276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76.2</w:t>
            </w:r>
          </w:p>
        </w:tc>
        <w:tc>
          <w:tcPr>
            <w:tcW w:w="1702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556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02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等线"/>
                <w:sz w:val="24"/>
              </w:rPr>
              <w:t>1</w:t>
            </w:r>
          </w:p>
        </w:tc>
        <w:tc>
          <w:tcPr>
            <w:tcW w:w="1697" w:type="dxa"/>
            <w:vAlign w:val="bottom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863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雅安市</w:t>
            </w:r>
          </w:p>
        </w:tc>
        <w:tc>
          <w:tcPr>
            <w:tcW w:w="1116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31.3</w:t>
            </w:r>
          </w:p>
        </w:tc>
        <w:tc>
          <w:tcPr>
            <w:tcW w:w="1135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-18.5%</w:t>
            </w:r>
          </w:p>
        </w:tc>
        <w:tc>
          <w:tcPr>
            <w:tcW w:w="1276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89.4</w:t>
            </w:r>
          </w:p>
        </w:tc>
        <w:tc>
          <w:tcPr>
            <w:tcW w:w="1702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556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02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等线"/>
                <w:sz w:val="24"/>
              </w:rPr>
              <w:t>-1</w:t>
            </w:r>
          </w:p>
        </w:tc>
        <w:tc>
          <w:tcPr>
            <w:tcW w:w="1697" w:type="dxa"/>
            <w:vAlign w:val="bottom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1863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资阳市</w:t>
            </w:r>
          </w:p>
        </w:tc>
        <w:tc>
          <w:tcPr>
            <w:tcW w:w="1116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43.5</w:t>
            </w:r>
          </w:p>
        </w:tc>
        <w:tc>
          <w:tcPr>
            <w:tcW w:w="1135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2.4%</w:t>
            </w:r>
          </w:p>
        </w:tc>
        <w:tc>
          <w:tcPr>
            <w:tcW w:w="1276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80.1</w:t>
            </w:r>
          </w:p>
        </w:tc>
        <w:tc>
          <w:tcPr>
            <w:tcW w:w="1702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-0.8</w:t>
            </w:r>
          </w:p>
        </w:tc>
        <w:tc>
          <w:tcPr>
            <w:tcW w:w="1556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2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等线"/>
                <w:sz w:val="24"/>
              </w:rPr>
              <w:t>0</w:t>
            </w:r>
          </w:p>
        </w:tc>
        <w:tc>
          <w:tcPr>
            <w:tcW w:w="1697" w:type="dxa"/>
            <w:vAlign w:val="bottom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863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平均</w:t>
            </w:r>
          </w:p>
        </w:tc>
        <w:tc>
          <w:tcPr>
            <w:tcW w:w="1116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41.0</w:t>
            </w:r>
          </w:p>
        </w:tc>
        <w:tc>
          <w:tcPr>
            <w:tcW w:w="1135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1.0%</w:t>
            </w:r>
          </w:p>
        </w:tc>
        <w:tc>
          <w:tcPr>
            <w:tcW w:w="1276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80.8</w:t>
            </w:r>
          </w:p>
        </w:tc>
        <w:tc>
          <w:tcPr>
            <w:tcW w:w="1702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-0.9</w:t>
            </w:r>
          </w:p>
        </w:tc>
        <w:tc>
          <w:tcPr>
            <w:tcW w:w="1556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/</w:t>
            </w:r>
          </w:p>
        </w:tc>
        <w:tc>
          <w:tcPr>
            <w:tcW w:w="1702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/</w:t>
            </w:r>
          </w:p>
        </w:tc>
        <w:tc>
          <w:tcPr>
            <w:tcW w:w="1697" w:type="dxa"/>
            <w:vAlign w:val="bottom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1863" w:type="dxa"/>
            <w:vMerge w:val="restart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川南地区</w:t>
            </w: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自贡市</w:t>
            </w:r>
          </w:p>
        </w:tc>
        <w:tc>
          <w:tcPr>
            <w:tcW w:w="1116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42.2</w:t>
            </w:r>
          </w:p>
        </w:tc>
        <w:tc>
          <w:tcPr>
            <w:tcW w:w="1135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-15.6%</w:t>
            </w:r>
          </w:p>
        </w:tc>
        <w:tc>
          <w:tcPr>
            <w:tcW w:w="1276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82.1</w:t>
            </w:r>
          </w:p>
        </w:tc>
        <w:tc>
          <w:tcPr>
            <w:tcW w:w="1702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556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2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等线"/>
                <w:sz w:val="24"/>
              </w:rPr>
              <w:t>0</w:t>
            </w:r>
          </w:p>
        </w:tc>
        <w:tc>
          <w:tcPr>
            <w:tcW w:w="1697" w:type="dxa"/>
            <w:vAlign w:val="bottom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863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泸州市</w:t>
            </w:r>
          </w:p>
        </w:tc>
        <w:tc>
          <w:tcPr>
            <w:tcW w:w="1116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47.8</w:t>
            </w:r>
          </w:p>
        </w:tc>
        <w:tc>
          <w:tcPr>
            <w:tcW w:w="1135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-4.2%</w:t>
            </w:r>
          </w:p>
        </w:tc>
        <w:tc>
          <w:tcPr>
            <w:tcW w:w="1276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78.8</w:t>
            </w:r>
          </w:p>
        </w:tc>
        <w:tc>
          <w:tcPr>
            <w:tcW w:w="1702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556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02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等线"/>
                <w:sz w:val="24"/>
              </w:rPr>
              <w:t>-2</w:t>
            </w:r>
          </w:p>
        </w:tc>
        <w:tc>
          <w:tcPr>
            <w:tcW w:w="1697" w:type="dxa"/>
            <w:vAlign w:val="bottom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1863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内江市</w:t>
            </w:r>
          </w:p>
        </w:tc>
        <w:tc>
          <w:tcPr>
            <w:tcW w:w="1116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45.5</w:t>
            </w:r>
          </w:p>
        </w:tc>
        <w:tc>
          <w:tcPr>
            <w:tcW w:w="1135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3.4%</w:t>
            </w:r>
          </w:p>
        </w:tc>
        <w:tc>
          <w:tcPr>
            <w:tcW w:w="1276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81.5</w:t>
            </w:r>
          </w:p>
        </w:tc>
        <w:tc>
          <w:tcPr>
            <w:tcW w:w="1702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556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2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等线"/>
                <w:sz w:val="24"/>
              </w:rPr>
              <w:t>1</w:t>
            </w:r>
          </w:p>
        </w:tc>
        <w:tc>
          <w:tcPr>
            <w:tcW w:w="1697" w:type="dxa"/>
            <w:vAlign w:val="bottom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863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bookmarkStart w:id="1" w:name="_Hlk195545180"/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宜宾市</w:t>
            </w:r>
          </w:p>
        </w:tc>
        <w:tc>
          <w:tcPr>
            <w:tcW w:w="1116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42.9</w:t>
            </w:r>
          </w:p>
        </w:tc>
        <w:tc>
          <w:tcPr>
            <w:tcW w:w="1135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-9.9%</w:t>
            </w:r>
          </w:p>
        </w:tc>
        <w:tc>
          <w:tcPr>
            <w:tcW w:w="1276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78.8</w:t>
            </w:r>
          </w:p>
        </w:tc>
        <w:tc>
          <w:tcPr>
            <w:tcW w:w="1702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556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02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</w:t>
            </w:r>
          </w:p>
        </w:tc>
        <w:tc>
          <w:tcPr>
            <w:tcW w:w="1697" w:type="dxa"/>
            <w:vAlign w:val="bottom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1863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平均</w:t>
            </w:r>
          </w:p>
        </w:tc>
        <w:tc>
          <w:tcPr>
            <w:tcW w:w="1116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44.6</w:t>
            </w:r>
          </w:p>
        </w:tc>
        <w:tc>
          <w:tcPr>
            <w:tcW w:w="1135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-6.9%</w:t>
            </w:r>
          </w:p>
        </w:tc>
        <w:tc>
          <w:tcPr>
            <w:tcW w:w="1276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80.3</w:t>
            </w:r>
          </w:p>
        </w:tc>
        <w:tc>
          <w:tcPr>
            <w:tcW w:w="1702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556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/</w:t>
            </w:r>
          </w:p>
        </w:tc>
        <w:tc>
          <w:tcPr>
            <w:tcW w:w="1702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bookmarkStart w:id="2" w:name="OLE_LINK3"/>
            <w:r>
              <w:rPr>
                <w:rFonts w:hint="eastAsia" w:ascii="Times New Roman" w:hAnsi="Times New Roman"/>
                <w:sz w:val="24"/>
              </w:rPr>
              <w:t>/</w:t>
            </w:r>
            <w:bookmarkEnd w:id="2"/>
          </w:p>
        </w:tc>
        <w:tc>
          <w:tcPr>
            <w:tcW w:w="1697" w:type="dxa"/>
            <w:vAlign w:val="bottom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/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863" w:type="dxa"/>
            <w:vMerge w:val="restart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川东北地区</w:t>
            </w: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广元市</w:t>
            </w:r>
          </w:p>
        </w:tc>
        <w:tc>
          <w:tcPr>
            <w:tcW w:w="1116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34.7</w:t>
            </w:r>
          </w:p>
        </w:tc>
        <w:tc>
          <w:tcPr>
            <w:tcW w:w="1135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15.3%</w:t>
            </w:r>
          </w:p>
        </w:tc>
        <w:tc>
          <w:tcPr>
            <w:tcW w:w="1276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90.1</w:t>
            </w:r>
          </w:p>
        </w:tc>
        <w:tc>
          <w:tcPr>
            <w:tcW w:w="1702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-4.6</w:t>
            </w:r>
          </w:p>
        </w:tc>
        <w:tc>
          <w:tcPr>
            <w:tcW w:w="1556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02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</w:t>
            </w:r>
          </w:p>
        </w:tc>
        <w:tc>
          <w:tcPr>
            <w:tcW w:w="1697" w:type="dxa"/>
            <w:vAlign w:val="bottom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1863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南充市</w:t>
            </w:r>
          </w:p>
        </w:tc>
        <w:tc>
          <w:tcPr>
            <w:tcW w:w="1116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44.1</w:t>
            </w:r>
          </w:p>
        </w:tc>
        <w:tc>
          <w:tcPr>
            <w:tcW w:w="1135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9.7%</w:t>
            </w:r>
          </w:p>
        </w:tc>
        <w:tc>
          <w:tcPr>
            <w:tcW w:w="1276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82.8</w:t>
            </w:r>
          </w:p>
        </w:tc>
        <w:tc>
          <w:tcPr>
            <w:tcW w:w="1702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-2.7</w:t>
            </w:r>
          </w:p>
        </w:tc>
        <w:tc>
          <w:tcPr>
            <w:tcW w:w="1556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2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-2</w:t>
            </w:r>
          </w:p>
        </w:tc>
        <w:tc>
          <w:tcPr>
            <w:tcW w:w="1697" w:type="dxa"/>
            <w:vAlign w:val="bottom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863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广安市</w:t>
            </w:r>
          </w:p>
        </w:tc>
        <w:tc>
          <w:tcPr>
            <w:tcW w:w="1116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48.9</w:t>
            </w:r>
          </w:p>
        </w:tc>
        <w:tc>
          <w:tcPr>
            <w:tcW w:w="1135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14.5%</w:t>
            </w:r>
          </w:p>
        </w:tc>
        <w:tc>
          <w:tcPr>
            <w:tcW w:w="1276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78.1</w:t>
            </w:r>
          </w:p>
        </w:tc>
        <w:tc>
          <w:tcPr>
            <w:tcW w:w="1702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-5.5</w:t>
            </w:r>
          </w:p>
        </w:tc>
        <w:tc>
          <w:tcPr>
            <w:tcW w:w="1556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702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97" w:type="dxa"/>
            <w:vAlign w:val="bottom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1863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达州市</w:t>
            </w:r>
          </w:p>
        </w:tc>
        <w:tc>
          <w:tcPr>
            <w:tcW w:w="1116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39.9</w:t>
            </w:r>
          </w:p>
        </w:tc>
        <w:tc>
          <w:tcPr>
            <w:tcW w:w="1135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15.7%</w:t>
            </w:r>
          </w:p>
        </w:tc>
        <w:tc>
          <w:tcPr>
            <w:tcW w:w="1276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86.1</w:t>
            </w:r>
          </w:p>
        </w:tc>
        <w:tc>
          <w:tcPr>
            <w:tcW w:w="1702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-2.7</w:t>
            </w:r>
          </w:p>
        </w:tc>
        <w:tc>
          <w:tcPr>
            <w:tcW w:w="1556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2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97" w:type="dxa"/>
            <w:vAlign w:val="bottom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863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巴中市</w:t>
            </w:r>
          </w:p>
        </w:tc>
        <w:tc>
          <w:tcPr>
            <w:tcW w:w="1116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39.9</w:t>
            </w:r>
          </w:p>
        </w:tc>
        <w:tc>
          <w:tcPr>
            <w:tcW w:w="1135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15.3%</w:t>
            </w:r>
          </w:p>
        </w:tc>
        <w:tc>
          <w:tcPr>
            <w:tcW w:w="1276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89.4</w:t>
            </w:r>
          </w:p>
        </w:tc>
        <w:tc>
          <w:tcPr>
            <w:tcW w:w="1702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-2.7</w:t>
            </w:r>
          </w:p>
        </w:tc>
        <w:tc>
          <w:tcPr>
            <w:tcW w:w="1556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02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</w:t>
            </w:r>
          </w:p>
        </w:tc>
        <w:tc>
          <w:tcPr>
            <w:tcW w:w="1697" w:type="dxa"/>
            <w:vAlign w:val="bottom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1863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平均</w:t>
            </w:r>
          </w:p>
        </w:tc>
        <w:tc>
          <w:tcPr>
            <w:tcW w:w="1116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41.5</w:t>
            </w:r>
          </w:p>
        </w:tc>
        <w:tc>
          <w:tcPr>
            <w:tcW w:w="1135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14.0%</w:t>
            </w:r>
          </w:p>
        </w:tc>
        <w:tc>
          <w:tcPr>
            <w:tcW w:w="1276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85.3</w:t>
            </w:r>
          </w:p>
        </w:tc>
        <w:tc>
          <w:tcPr>
            <w:tcW w:w="1702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-3.6</w:t>
            </w:r>
          </w:p>
        </w:tc>
        <w:tc>
          <w:tcPr>
            <w:tcW w:w="1556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/</w:t>
            </w:r>
          </w:p>
        </w:tc>
        <w:tc>
          <w:tcPr>
            <w:tcW w:w="1702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/</w:t>
            </w:r>
          </w:p>
        </w:tc>
        <w:tc>
          <w:tcPr>
            <w:tcW w:w="1697" w:type="dxa"/>
            <w:vAlign w:val="bottom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863" w:type="dxa"/>
            <w:vMerge w:val="restart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bookmarkStart w:id="3" w:name="_Hlk193115293"/>
            <w:bookmarkStart w:id="4" w:name="OLE_LINK11" w:colFirst="2" w:colLast="8"/>
            <w:bookmarkStart w:id="5" w:name="OLE_LINK10" w:colFirst="2" w:colLast="8"/>
            <w:r>
              <w:rPr>
                <w:rFonts w:ascii="Times New Roman" w:hAnsi="Times New Roman" w:eastAsia="仿宋_GB2312"/>
                <w:kern w:val="0"/>
                <w:sz w:val="24"/>
              </w:rPr>
              <w:t>攀西高原地区</w:t>
            </w: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攀枝花市</w:t>
            </w:r>
          </w:p>
        </w:tc>
        <w:tc>
          <w:tcPr>
            <w:tcW w:w="1116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29.5</w:t>
            </w:r>
          </w:p>
        </w:tc>
        <w:tc>
          <w:tcPr>
            <w:tcW w:w="1135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7.3%</w:t>
            </w:r>
          </w:p>
        </w:tc>
        <w:tc>
          <w:tcPr>
            <w:tcW w:w="1276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98.7</w:t>
            </w:r>
          </w:p>
        </w:tc>
        <w:tc>
          <w:tcPr>
            <w:tcW w:w="1702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556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02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97" w:type="dxa"/>
            <w:vAlign w:val="bottom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1863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凉山州</w:t>
            </w:r>
          </w:p>
        </w:tc>
        <w:tc>
          <w:tcPr>
            <w:tcW w:w="1116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20.3</w:t>
            </w:r>
          </w:p>
        </w:tc>
        <w:tc>
          <w:tcPr>
            <w:tcW w:w="1135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-7.3%</w:t>
            </w:r>
          </w:p>
        </w:tc>
        <w:tc>
          <w:tcPr>
            <w:tcW w:w="1276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702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556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02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</w:t>
            </w:r>
          </w:p>
        </w:tc>
        <w:tc>
          <w:tcPr>
            <w:tcW w:w="1697" w:type="dxa"/>
            <w:vAlign w:val="bottom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863" w:type="dxa"/>
            <w:vMerge w:val="restart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川西高原地区</w:t>
            </w: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阿坝州</w:t>
            </w:r>
          </w:p>
        </w:tc>
        <w:tc>
          <w:tcPr>
            <w:tcW w:w="1116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13.9</w:t>
            </w:r>
          </w:p>
        </w:tc>
        <w:tc>
          <w:tcPr>
            <w:tcW w:w="1135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23.0%</w:t>
            </w:r>
          </w:p>
        </w:tc>
        <w:tc>
          <w:tcPr>
            <w:tcW w:w="1276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702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0.0</w:t>
            </w:r>
          </w:p>
        </w:tc>
        <w:tc>
          <w:tcPr>
            <w:tcW w:w="1556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02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97" w:type="dxa"/>
            <w:vAlign w:val="bottom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1863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甘孜州</w:t>
            </w:r>
          </w:p>
        </w:tc>
        <w:tc>
          <w:tcPr>
            <w:tcW w:w="1116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135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-6.0%</w:t>
            </w:r>
          </w:p>
        </w:tc>
        <w:tc>
          <w:tcPr>
            <w:tcW w:w="1276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702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0.0</w:t>
            </w:r>
          </w:p>
        </w:tc>
        <w:tc>
          <w:tcPr>
            <w:tcW w:w="1556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02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97" w:type="dxa"/>
            <w:vAlign w:val="bottom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1.73</w:t>
            </w:r>
          </w:p>
        </w:tc>
      </w:tr>
      <w:bookmarkEnd w:id="3"/>
      <w:bookmarkEnd w:id="4"/>
      <w:bookmark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137" w:type="dxa"/>
            <w:gridSpan w:val="2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  <w:t>重点城市</w:t>
            </w:r>
          </w:p>
        </w:tc>
        <w:tc>
          <w:tcPr>
            <w:tcW w:w="1116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42.6</w:t>
            </w:r>
          </w:p>
        </w:tc>
        <w:tc>
          <w:tcPr>
            <w:tcW w:w="1135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0.7%</w:t>
            </w:r>
          </w:p>
        </w:tc>
        <w:tc>
          <w:tcPr>
            <w:tcW w:w="1276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81.0</w:t>
            </w:r>
          </w:p>
        </w:tc>
        <w:tc>
          <w:tcPr>
            <w:tcW w:w="1702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0.0</w:t>
            </w:r>
          </w:p>
        </w:tc>
        <w:tc>
          <w:tcPr>
            <w:tcW w:w="1556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21</w:t>
            </w:r>
          </w:p>
        </w:tc>
        <w:tc>
          <w:tcPr>
            <w:tcW w:w="1702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7</w:t>
            </w:r>
          </w:p>
        </w:tc>
        <w:tc>
          <w:tcPr>
            <w:tcW w:w="1697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3137" w:type="dxa"/>
            <w:gridSpan w:val="2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  <w:t>全省</w:t>
            </w:r>
          </w:p>
        </w:tc>
        <w:tc>
          <w:tcPr>
            <w:tcW w:w="1116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37.4</w:t>
            </w:r>
          </w:p>
        </w:tc>
        <w:tc>
          <w:tcPr>
            <w:tcW w:w="1135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2.2%</w:t>
            </w:r>
          </w:p>
        </w:tc>
        <w:tc>
          <w:tcPr>
            <w:tcW w:w="1276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85.4</w:t>
            </w:r>
          </w:p>
        </w:tc>
        <w:tc>
          <w:tcPr>
            <w:tcW w:w="1702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-0.1</w:t>
            </w:r>
          </w:p>
        </w:tc>
        <w:tc>
          <w:tcPr>
            <w:tcW w:w="1556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21</w:t>
            </w:r>
          </w:p>
        </w:tc>
        <w:tc>
          <w:tcPr>
            <w:tcW w:w="1702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6</w:t>
            </w:r>
          </w:p>
        </w:tc>
        <w:tc>
          <w:tcPr>
            <w:tcW w:w="1697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/</w:t>
            </w:r>
          </w:p>
        </w:tc>
      </w:tr>
    </w:tbl>
    <w:p>
      <w:pPr>
        <w:overflowPunct w:val="0"/>
        <w:topLinePunct/>
        <w:spacing w:line="400" w:lineRule="exact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备注：1．重点城市是指全国168个重点城市中我省的15个市。</w:t>
      </w:r>
    </w:p>
    <w:p>
      <w:pPr>
        <w:overflowPunct w:val="0"/>
        <w:topLinePunct/>
        <w:spacing w:line="400" w:lineRule="exact"/>
        <w:ind w:firstLine="720" w:firstLineChars="300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2．数据来源为国控站实测数据。</w:t>
      </w:r>
    </w:p>
    <w:p>
      <w:pPr>
        <w:tabs>
          <w:tab w:val="left" w:pos="656"/>
        </w:tabs>
        <w:overflowPunct w:val="0"/>
        <w:topLinePunct/>
        <w:jc w:val="left"/>
        <w:rPr>
          <w:rFonts w:ascii="Times New Roman" w:hAnsi="Times New Roman"/>
        </w:rPr>
      </w:pPr>
    </w:p>
    <w:bookmarkEnd w:id="0"/>
    <w:p>
      <w:pPr>
        <w:overflowPunct w:val="0"/>
        <w:topLinePunct/>
        <w:spacing w:line="600" w:lineRule="exact"/>
        <w:ind w:right="210" w:rightChars="100"/>
        <w:rPr>
          <w:rFonts w:ascii="Times New Roman" w:hAnsi="Times New Roman" w:eastAsia="黑体"/>
          <w:sz w:val="32"/>
          <w:szCs w:val="28"/>
        </w:rPr>
      </w:pPr>
    </w:p>
    <w:sectPr>
      <w:footerReference r:id="rId3" w:type="default"/>
      <w:footerReference r:id="rId4" w:type="even"/>
      <w:pgSz w:w="16838" w:h="11906" w:orient="landscape"/>
      <w:pgMar w:top="1588" w:right="2098" w:bottom="1474" w:left="124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altName w:val="Times New Roman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 Light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WAAAAZHJzL1BLAQIUABQAAAAIAIdO4kCzSVju0AAAAAUBAAAPAAAAAAAAAAEAIAAAADgAAABk&#10;cnMvZG93bnJldi54bWxQSwECFAAUAAAACACHTuJASLb2J9wCAAAkBgAADgAAAAAAAAABACAAAAA1&#10;AQAAZHJzL2Uyb0RvYy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WAAAAZHJzL1BLAQIUABQAAAAIAIdO4kCzSVju0AAAAAUBAAAPAAAAAAAAAAEAIAAAADgAAABk&#10;cnMvZG93bnJldi54bWxQSwECFAAUAAAACACHTuJAX8imvdwCAAAkBgAADgAAAAAAAAABACAAAAA1&#10;AQAAZHJzL2Uyb0RvYy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enforcement="0"/>
  <w:defaultTabStop w:val="420"/>
  <w:evenAndOddHeaders w:val="1"/>
  <w:drawingGridHorizontalSpacing w:val="105"/>
  <w:drawingGridVerticalSpacing w:val="315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6A1484"/>
    <w:rsid w:val="00012BDA"/>
    <w:rsid w:val="00101657"/>
    <w:rsid w:val="00105606"/>
    <w:rsid w:val="00173DB9"/>
    <w:rsid w:val="001D02C9"/>
    <w:rsid w:val="00220752"/>
    <w:rsid w:val="0027012B"/>
    <w:rsid w:val="002D155A"/>
    <w:rsid w:val="002D1593"/>
    <w:rsid w:val="003D616C"/>
    <w:rsid w:val="0043447D"/>
    <w:rsid w:val="00447681"/>
    <w:rsid w:val="0046650F"/>
    <w:rsid w:val="00490B9D"/>
    <w:rsid w:val="00501E3E"/>
    <w:rsid w:val="00566247"/>
    <w:rsid w:val="00576B95"/>
    <w:rsid w:val="005C1531"/>
    <w:rsid w:val="005E536C"/>
    <w:rsid w:val="00623B20"/>
    <w:rsid w:val="006E0EDE"/>
    <w:rsid w:val="00801187"/>
    <w:rsid w:val="00853665"/>
    <w:rsid w:val="008B1AB8"/>
    <w:rsid w:val="00901013"/>
    <w:rsid w:val="00903AD7"/>
    <w:rsid w:val="009C1B2A"/>
    <w:rsid w:val="00A536F3"/>
    <w:rsid w:val="00A672BA"/>
    <w:rsid w:val="00AE2A0E"/>
    <w:rsid w:val="00AE7560"/>
    <w:rsid w:val="00B608DF"/>
    <w:rsid w:val="00BB3357"/>
    <w:rsid w:val="00BC14E0"/>
    <w:rsid w:val="00C24C11"/>
    <w:rsid w:val="00C35C43"/>
    <w:rsid w:val="00D10F31"/>
    <w:rsid w:val="00D2046A"/>
    <w:rsid w:val="00DE10B5"/>
    <w:rsid w:val="00DE7644"/>
    <w:rsid w:val="00E03748"/>
    <w:rsid w:val="00E30036"/>
    <w:rsid w:val="00E524FB"/>
    <w:rsid w:val="00FD2D23"/>
    <w:rsid w:val="305A6AD0"/>
    <w:rsid w:val="396A1484"/>
    <w:rsid w:val="5EBF1335"/>
    <w:rsid w:val="5FCBD43C"/>
    <w:rsid w:val="63D411EE"/>
    <w:rsid w:val="64112B2B"/>
    <w:rsid w:val="71ED316F"/>
    <w:rsid w:val="7556909E"/>
    <w:rsid w:val="777F3F4F"/>
    <w:rsid w:val="777FCDFA"/>
    <w:rsid w:val="7B4E72AE"/>
    <w:rsid w:val="7E551CF0"/>
    <w:rsid w:val="7FBEFAB3"/>
    <w:rsid w:val="7FFD1628"/>
    <w:rsid w:val="9BAE5404"/>
    <w:rsid w:val="A4DF2F2A"/>
    <w:rsid w:val="BF6F15E7"/>
    <w:rsid w:val="DEBEB68E"/>
    <w:rsid w:val="E7BF9BAB"/>
    <w:rsid w:val="F77DD3B9"/>
    <w:rsid w:val="FDEFF77A"/>
    <w:rsid w:val="FF57095A"/>
    <w:rsid w:val="FFFA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alloon Text"/>
    <w:basedOn w:val="1"/>
    <w:link w:val="10"/>
    <w:qFormat/>
    <w:uiPriority w:val="0"/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styleId="9">
    <w:name w:val="footnote reference"/>
    <w:qFormat/>
    <w:uiPriority w:val="0"/>
    <w:rPr>
      <w:vertAlign w:val="superscript"/>
    </w:rPr>
  </w:style>
  <w:style w:type="character" w:customStyle="1" w:styleId="10">
    <w:name w:val="批注框文本 字符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眉 字符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NormalCharacter"/>
    <w:qFormat/>
    <w:uiPriority w:val="0"/>
    <w:rPr>
      <w:rFonts w:hint="eastAsia" w:ascii="等线" w:hAnsi="等线" w:eastAsia="等线" w:cs="Times New Roman"/>
      <w:lang w:val="en-US" w:eastAsia="zh-CN" w:bidi="ar-SA"/>
    </w:rPr>
  </w:style>
  <w:style w:type="paragraph" w:customStyle="1" w:styleId="13">
    <w:name w:val="标准文字"/>
    <w:qFormat/>
    <w:uiPriority w:val="0"/>
    <w:pPr>
      <w:widowControl w:val="0"/>
      <w:overflowPunct w:val="0"/>
      <w:spacing w:line="360" w:lineRule="auto"/>
      <w:ind w:firstLine="600" w:firstLineChars="20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772</Words>
  <Characters>4402</Characters>
  <Lines>36</Lines>
  <Paragraphs>10</Paragraphs>
  <TotalTime>18</TotalTime>
  <ScaleCrop>false</ScaleCrop>
  <LinksUpToDate>false</LinksUpToDate>
  <CharactersWithSpaces>5164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2025-06-23T10:01:00Z</dcterms:created>
  <dc:creator>黄梅</dc:creator>
  <cp:lastModifiedBy>user</cp:lastModifiedBy>
  <cp:lastPrinted>2025-06-20T18:44:00Z</cp:lastPrinted>
  <dcterms:modified xsi:type="dcterms:W3CDTF">2025-06-26T09:59:15Z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920724AD47C0A35B73A95C68F2C42E49</vt:lpwstr>
  </property>
  <property fmtid="{D5CDD505-2E9C-101B-9397-08002B2CF9AE}" pid="4" name="KSOTemplateDocerSaveRecord">
    <vt:lpwstr>eyJoZGlkIjoiODJmMmYwYTEwZjMxNDNiZDA4NzA0Mjc4ZDRmMzJiNTciLCJ1c2VySWQiOiIxNDE2ODUyMzA1In0=</vt:lpwstr>
  </property>
</Properties>
</file>